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265" w:rsidRDefault="00BA6265" w:rsidP="00660039">
      <w:pPr>
        <w:rPr>
          <w:b/>
        </w:rPr>
      </w:pPr>
    </w:p>
    <w:p w:rsidR="00BA6265" w:rsidRDefault="00653C68" w:rsidP="006975A5">
      <w:pPr>
        <w:spacing w:after="2760"/>
        <w:rPr>
          <w:b/>
        </w:rPr>
      </w:pPr>
      <w:r>
        <w:rPr>
          <w:noProof/>
        </w:rPr>
        <w:drawing>
          <wp:inline distT="0" distB="0" distL="0" distR="0">
            <wp:extent cx="2276475" cy="1104900"/>
            <wp:effectExtent l="0" t="0" r="0" b="0"/>
            <wp:docPr id="1" name="Picture 7" descr="Menzies school of health research logo" title="Menzies school of health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menzies.edu.au:8080/download/attachments/17203235/menzies+logo.JPG?version=1&amp;modificationDate=1349316756000"/>
                    <pic:cNvPicPr>
                      <a:picLocks noChangeAspect="1" noChangeArrowheads="1"/>
                    </pic:cNvPicPr>
                  </pic:nvPicPr>
                  <pic:blipFill>
                    <a:blip r:embed="rId9"/>
                    <a:srcRect/>
                    <a:stretch>
                      <a:fillRect/>
                    </a:stretch>
                  </pic:blipFill>
                  <pic:spPr bwMode="auto">
                    <a:xfrm>
                      <a:off x="0" y="0"/>
                      <a:ext cx="2276475" cy="1104900"/>
                    </a:xfrm>
                    <a:prstGeom prst="rect">
                      <a:avLst/>
                    </a:prstGeom>
                    <a:noFill/>
                    <a:ln w="9525">
                      <a:noFill/>
                      <a:miter lim="800000"/>
                      <a:headEnd/>
                      <a:tailEnd/>
                    </a:ln>
                  </pic:spPr>
                </pic:pic>
              </a:graphicData>
            </a:graphic>
          </wp:inline>
        </w:drawing>
      </w:r>
    </w:p>
    <w:p w:rsidR="00473BD1" w:rsidRDefault="00BA6265" w:rsidP="00041D60">
      <w:pPr>
        <w:pStyle w:val="Heading1"/>
      </w:pPr>
      <w:r w:rsidRPr="008F35A9">
        <w:t>M</w:t>
      </w:r>
      <w:r w:rsidR="00EE72D5">
        <w:t>ENZIES SCHOOL OF HEALTH RESEARCH</w:t>
      </w:r>
    </w:p>
    <w:p w:rsidR="00BA6265" w:rsidRDefault="00BA6265" w:rsidP="0057663C">
      <w:pPr>
        <w:pStyle w:val="Heading2"/>
      </w:pPr>
      <w:r>
        <w:t>Evaluation of a Comprehensive Case Management Support Program for the Prevention of Hearing Loss Associated with Otitis Media with Perforation in Indigenous Children</w:t>
      </w:r>
    </w:p>
    <w:p w:rsidR="00BA6265" w:rsidRDefault="00BA6265" w:rsidP="00E51127">
      <w:pPr>
        <w:jc w:val="center"/>
        <w:rPr>
          <w:b/>
        </w:rPr>
      </w:pPr>
    </w:p>
    <w:p w:rsidR="00BA6265" w:rsidRDefault="00BA6265" w:rsidP="00E51127">
      <w:pPr>
        <w:jc w:val="center"/>
        <w:rPr>
          <w:b/>
        </w:rPr>
      </w:pPr>
    </w:p>
    <w:p w:rsidR="00BA6265" w:rsidRPr="0057663C" w:rsidRDefault="00BA6265" w:rsidP="00041D60">
      <w:pPr>
        <w:pStyle w:val="Heading1"/>
      </w:pPr>
      <w:r w:rsidRPr="0057663C">
        <w:t>FINAL REPORT</w:t>
      </w:r>
    </w:p>
    <w:p w:rsidR="00BA6265" w:rsidRPr="006975A5" w:rsidRDefault="00BA6265" w:rsidP="006975A5">
      <w:pPr>
        <w:jc w:val="center"/>
        <w:rPr>
          <w:b/>
          <w:i/>
        </w:rPr>
      </w:pPr>
      <w:proofErr w:type="gramStart"/>
      <w:r w:rsidRPr="006975A5">
        <w:rPr>
          <w:b/>
          <w:i/>
        </w:rPr>
        <w:t>for</w:t>
      </w:r>
      <w:proofErr w:type="gramEnd"/>
      <w:r w:rsidRPr="006975A5">
        <w:rPr>
          <w:b/>
          <w:i/>
        </w:rPr>
        <w:t xml:space="preserve"> the</w:t>
      </w:r>
    </w:p>
    <w:p w:rsidR="00BA6265" w:rsidRDefault="00BA6265" w:rsidP="00E51127">
      <w:pPr>
        <w:jc w:val="center"/>
        <w:rPr>
          <w:b/>
        </w:rPr>
      </w:pPr>
    </w:p>
    <w:p w:rsidR="00BA6265" w:rsidRPr="0057663C" w:rsidRDefault="00BA6265" w:rsidP="006975A5">
      <w:pPr>
        <w:pStyle w:val="Heading2"/>
      </w:pPr>
      <w:r w:rsidRPr="0057663C">
        <w:t>Office of Hearing Services</w:t>
      </w:r>
    </w:p>
    <w:p w:rsidR="00473BD1" w:rsidRPr="0057663C" w:rsidRDefault="00BA6265" w:rsidP="006975A5">
      <w:pPr>
        <w:pStyle w:val="Heading2"/>
      </w:pPr>
      <w:r w:rsidRPr="0057663C">
        <w:t>Department of Health and Ageing</w:t>
      </w:r>
    </w:p>
    <w:p w:rsidR="00216F43" w:rsidRPr="00216F43" w:rsidRDefault="00216F43" w:rsidP="00216F43">
      <w:pPr>
        <w:rPr>
          <w:sz w:val="180"/>
          <w:szCs w:val="144"/>
        </w:rPr>
      </w:pPr>
    </w:p>
    <w:p w:rsidR="00BA6265" w:rsidRDefault="00BA6265" w:rsidP="00041D60">
      <w:pPr>
        <w:pStyle w:val="Heading1"/>
      </w:pPr>
      <w:r w:rsidRPr="008F35A9">
        <w:t>JU</w:t>
      </w:r>
      <w:r>
        <w:t>LY</w:t>
      </w:r>
      <w:r w:rsidRPr="008F35A9">
        <w:t xml:space="preserve"> 2013</w:t>
      </w:r>
    </w:p>
    <w:p w:rsidR="00BA6265" w:rsidRDefault="00BA6265" w:rsidP="00660039">
      <w:r>
        <w:br w:type="page"/>
      </w:r>
    </w:p>
    <w:p w:rsidR="00BA6265" w:rsidRDefault="00BA6265" w:rsidP="00660039"/>
    <w:p w:rsidR="00BA6265" w:rsidRDefault="00BA6265" w:rsidP="006975A5">
      <w:pPr>
        <w:pStyle w:val="Heading2"/>
      </w:pPr>
      <w:r w:rsidRPr="0057663C">
        <w:t>Evaluation of a Comprehensive Case Management Support Program for the Prevention of Hearing Loss Associated with Otitis Media with Perforation in Indigenous Children</w:t>
      </w:r>
    </w:p>
    <w:p w:rsidR="0057663C" w:rsidRPr="0057663C" w:rsidRDefault="0057663C" w:rsidP="0057663C"/>
    <w:p w:rsidR="00BA6265" w:rsidRPr="001D38A4" w:rsidRDefault="00BA6265" w:rsidP="001D38A4">
      <w:pPr>
        <w:pStyle w:val="Heading3"/>
      </w:pPr>
      <w:r w:rsidRPr="001D38A4">
        <w:t>FINAL REPORT</w:t>
      </w:r>
    </w:p>
    <w:p w:rsidR="0057663C" w:rsidRPr="0057663C" w:rsidRDefault="0057663C" w:rsidP="0057663C"/>
    <w:p w:rsidR="00BA6265" w:rsidRPr="008177C9" w:rsidRDefault="00BA6265" w:rsidP="006975A5">
      <w:pPr>
        <w:jc w:val="center"/>
      </w:pPr>
      <w:r w:rsidRPr="00CD5BC3">
        <w:t>Project funded by the Office of Hearing Services,</w:t>
      </w:r>
      <w:r>
        <w:t xml:space="preserve"> </w:t>
      </w:r>
      <w:r w:rsidRPr="00CD5BC3">
        <w:t>Australian Government Department of Health and Ageing,</w:t>
      </w:r>
      <w:r>
        <w:t xml:space="preserve"> </w:t>
      </w:r>
      <w:r w:rsidRPr="00CD5BC3">
        <w:t>Australian Capital Territory</w:t>
      </w:r>
    </w:p>
    <w:p w:rsidR="00BA6265" w:rsidRDefault="00BA6265" w:rsidP="0057663C">
      <w:pPr>
        <w:rPr>
          <w:b/>
        </w:rPr>
      </w:pPr>
    </w:p>
    <w:p w:rsidR="00BA6265" w:rsidRPr="0057663C" w:rsidRDefault="00BA6265" w:rsidP="006975A5">
      <w:pPr>
        <w:pStyle w:val="Heading2"/>
        <w:jc w:val="left"/>
      </w:pPr>
      <w:r w:rsidRPr="0057663C">
        <w:t>Submitted by:</w:t>
      </w:r>
    </w:p>
    <w:p w:rsidR="00BA6265" w:rsidRPr="00DF04B2" w:rsidRDefault="00BA6265" w:rsidP="0057663C">
      <w:r>
        <w:t xml:space="preserve">Associate Professor </w:t>
      </w:r>
      <w:r w:rsidRPr="00DF04B2">
        <w:t>Peter Morris</w:t>
      </w:r>
    </w:p>
    <w:p w:rsidR="00BA6265" w:rsidRPr="00DF04B2" w:rsidRDefault="00BA6265" w:rsidP="0057663C">
      <w:r>
        <w:t xml:space="preserve">Professor </w:t>
      </w:r>
      <w:r w:rsidRPr="00DF04B2">
        <w:t>Amanda Leach</w:t>
      </w:r>
    </w:p>
    <w:p w:rsidR="00BA6265" w:rsidRDefault="00BA6265" w:rsidP="0057663C">
      <w:r>
        <w:t xml:space="preserve">Associate Professor </w:t>
      </w:r>
      <w:r w:rsidRPr="00DF04B2">
        <w:t>Ross Andrews</w:t>
      </w:r>
    </w:p>
    <w:p w:rsidR="006975A5" w:rsidRDefault="006975A5" w:rsidP="0057663C"/>
    <w:p w:rsidR="00BA6265" w:rsidRPr="006975A5" w:rsidRDefault="00BA6265" w:rsidP="006975A5">
      <w:pPr>
        <w:pStyle w:val="Heading2"/>
        <w:jc w:val="left"/>
      </w:pPr>
      <w:r w:rsidRPr="006975A5">
        <w:t>Project Investigators:</w:t>
      </w:r>
    </w:p>
    <w:p w:rsidR="00BA6265" w:rsidRPr="00DF04B2" w:rsidRDefault="00BA6265" w:rsidP="00660039"/>
    <w:tbl>
      <w:tblPr>
        <w:tblW w:w="0" w:type="auto"/>
        <w:tblLook w:val="00A0" w:firstRow="1" w:lastRow="0" w:firstColumn="1" w:lastColumn="0" w:noHBand="0" w:noVBand="0"/>
      </w:tblPr>
      <w:tblGrid>
        <w:gridCol w:w="4361"/>
        <w:gridCol w:w="4681"/>
      </w:tblGrid>
      <w:tr w:rsidR="008F70DC" w:rsidTr="005A4259">
        <w:tc>
          <w:tcPr>
            <w:tcW w:w="4361" w:type="dxa"/>
          </w:tcPr>
          <w:p w:rsidR="008F70DC" w:rsidRPr="00886C91" w:rsidRDefault="008F70DC" w:rsidP="005A4259">
            <w:r w:rsidRPr="006975A5">
              <w:rPr>
                <w:rStyle w:val="Heading3Char"/>
              </w:rPr>
              <w:t>Project 1:</w:t>
            </w:r>
            <w:r w:rsidRPr="00CD5BC3">
              <w:t xml:space="preserve"> </w:t>
            </w:r>
            <w:r w:rsidRPr="00886C91">
              <w:t xml:space="preserve">IHEAR BETA Study: The Indigenous Healthy Ears- </w:t>
            </w:r>
            <w:proofErr w:type="spellStart"/>
            <w:r w:rsidRPr="00886C91">
              <w:t>Betadine</w:t>
            </w:r>
            <w:proofErr w:type="spellEnd"/>
            <w:r w:rsidRPr="00886C91">
              <w:t>, Tissues and Antibiotics study. A randomised controlled clinical trial (NHMRC proposal).</w:t>
            </w:r>
          </w:p>
          <w:p w:rsidR="008F70DC" w:rsidRDefault="008F70DC" w:rsidP="005A4259"/>
          <w:p w:rsidR="008F70DC" w:rsidRPr="00764A5E" w:rsidRDefault="008F70DC" w:rsidP="005A4259">
            <w:smartTag w:uri="urn:schemas-microsoft-com:office:smarttags" w:element="PersonName">
              <w:r w:rsidRPr="00764A5E">
                <w:t>Peter Morris</w:t>
              </w:r>
            </w:smartTag>
            <w:r w:rsidRPr="00764A5E">
              <w:rPr>
                <w:rStyle w:val="FootnoteReference"/>
              </w:rPr>
              <w:footnoteReference w:id="1"/>
            </w:r>
            <w:r w:rsidRPr="005A4259">
              <w:rPr>
                <w:vertAlign w:val="superscript"/>
              </w:rPr>
              <w:t>,</w:t>
            </w:r>
            <w:r w:rsidRPr="00764A5E">
              <w:rPr>
                <w:rStyle w:val="FootnoteReference"/>
              </w:rPr>
              <w:footnoteReference w:id="2"/>
            </w:r>
          </w:p>
          <w:p w:rsidR="008F70DC" w:rsidRPr="00764A5E" w:rsidRDefault="008F70DC" w:rsidP="005A4259">
            <w:smartTag w:uri="urn:schemas-microsoft-com:office:smarttags" w:element="PersonName">
              <w:r w:rsidRPr="00764A5E">
                <w:t>Heidi Smith-Vaughan</w:t>
              </w:r>
            </w:smartTag>
            <w:r w:rsidRPr="00764A5E">
              <w:rPr>
                <w:rStyle w:val="FootnoteReference"/>
              </w:rPr>
              <w:t>1</w:t>
            </w:r>
          </w:p>
          <w:p w:rsidR="008F70DC" w:rsidRPr="00764A5E" w:rsidRDefault="008F70DC" w:rsidP="005A4259">
            <w:smartTag w:uri="urn:schemas-microsoft-com:office:smarttags" w:element="PersonName">
              <w:r w:rsidRPr="00764A5E">
                <w:t>Kim Hare</w:t>
              </w:r>
            </w:smartTag>
            <w:r w:rsidRPr="00764A5E">
              <w:rPr>
                <w:rStyle w:val="FootnoteReference"/>
              </w:rPr>
              <w:t>1</w:t>
            </w:r>
          </w:p>
          <w:p w:rsidR="008F70DC" w:rsidRPr="00764A5E" w:rsidRDefault="008F70DC" w:rsidP="005A4259">
            <w:r w:rsidRPr="00764A5E">
              <w:t xml:space="preserve">Ms </w:t>
            </w:r>
            <w:smartTag w:uri="urn:schemas-microsoft-com:office:smarttags" w:element="PersonName">
              <w:r w:rsidRPr="00764A5E">
                <w:t>Anna Stephen</w:t>
              </w:r>
            </w:smartTag>
            <w:r w:rsidRPr="00764A5E">
              <w:rPr>
                <w:rStyle w:val="FootnoteReference"/>
              </w:rPr>
              <w:t>1</w:t>
            </w:r>
          </w:p>
          <w:p w:rsidR="008F70DC" w:rsidRPr="00764A5E" w:rsidRDefault="008F70DC" w:rsidP="005A4259">
            <w:pPr>
              <w:autoSpaceDE w:val="0"/>
              <w:autoSpaceDN w:val="0"/>
              <w:adjustRightInd w:val="0"/>
              <w:rPr>
                <w:lang w:bidi="bn-BD"/>
              </w:rPr>
            </w:pPr>
            <w:r w:rsidRPr="00764A5E">
              <w:rPr>
                <w:lang w:bidi="bn-BD"/>
              </w:rPr>
              <w:t xml:space="preserve">Paul </w:t>
            </w:r>
            <w:proofErr w:type="spellStart"/>
            <w:r w:rsidRPr="00764A5E">
              <w:rPr>
                <w:lang w:bidi="bn-BD"/>
              </w:rPr>
              <w:t>Torzillo</w:t>
            </w:r>
            <w:proofErr w:type="spellEnd"/>
            <w:r w:rsidRPr="00764A5E">
              <w:rPr>
                <w:rStyle w:val="FootnoteReference"/>
                <w:lang w:bidi="bn-BD"/>
              </w:rPr>
              <w:footnoteReference w:id="3"/>
            </w:r>
          </w:p>
          <w:p w:rsidR="008F70DC" w:rsidRPr="005A4259" w:rsidRDefault="008F70DC" w:rsidP="005A4259">
            <w:pPr>
              <w:autoSpaceDE w:val="0"/>
              <w:autoSpaceDN w:val="0"/>
              <w:adjustRightInd w:val="0"/>
              <w:rPr>
                <w:vertAlign w:val="superscript"/>
                <w:lang w:bidi="bn-BD"/>
              </w:rPr>
            </w:pPr>
            <w:r w:rsidRPr="00764A5E">
              <w:rPr>
                <w:lang w:bidi="bn-BD"/>
              </w:rPr>
              <w:t xml:space="preserve">Dr </w:t>
            </w:r>
            <w:smartTag w:uri="urn:schemas-microsoft-com:office:smarttags" w:element="PersonName">
              <w:r w:rsidRPr="00764A5E">
                <w:rPr>
                  <w:lang w:bidi="bn-BD"/>
                </w:rPr>
                <w:t>Steven Tong</w:t>
              </w:r>
            </w:smartTag>
            <w:r w:rsidRPr="005A4259">
              <w:rPr>
                <w:vertAlign w:val="superscript"/>
                <w:lang w:bidi="bn-BD"/>
              </w:rPr>
              <w:t>1</w:t>
            </w:r>
          </w:p>
          <w:p w:rsidR="008F70DC" w:rsidRPr="005A4259" w:rsidRDefault="008F70DC" w:rsidP="005A4259">
            <w:pPr>
              <w:autoSpaceDE w:val="0"/>
              <w:autoSpaceDN w:val="0"/>
              <w:adjustRightInd w:val="0"/>
              <w:rPr>
                <w:vertAlign w:val="superscript"/>
                <w:lang w:bidi="bn-BD"/>
              </w:rPr>
            </w:pPr>
            <w:smartTag w:uri="urn:schemas-microsoft-com:office:smarttags" w:element="PersonName">
              <w:r w:rsidRPr="00764A5E">
                <w:rPr>
                  <w:lang w:bidi="bn-BD"/>
                </w:rPr>
                <w:t>Donna Woltring</w:t>
              </w:r>
            </w:smartTag>
            <w:r w:rsidRPr="005A4259">
              <w:rPr>
                <w:vertAlign w:val="superscript"/>
                <w:lang w:bidi="bn-BD"/>
              </w:rPr>
              <w:t>1</w:t>
            </w:r>
          </w:p>
          <w:p w:rsidR="008F70DC" w:rsidRPr="005A4259" w:rsidRDefault="008F70DC" w:rsidP="005A4259">
            <w:pPr>
              <w:rPr>
                <w:b/>
              </w:rPr>
            </w:pPr>
          </w:p>
          <w:p w:rsidR="008F70DC" w:rsidRPr="005A4259" w:rsidRDefault="008F70DC" w:rsidP="005A4259">
            <w:pPr>
              <w:rPr>
                <w:b/>
              </w:rPr>
            </w:pPr>
          </w:p>
        </w:tc>
        <w:tc>
          <w:tcPr>
            <w:tcW w:w="4681" w:type="dxa"/>
          </w:tcPr>
          <w:p w:rsidR="008F70DC" w:rsidRPr="00886C91" w:rsidRDefault="008F70DC" w:rsidP="005A4259">
            <w:r w:rsidRPr="006975A5">
              <w:rPr>
                <w:rStyle w:val="Heading3Char"/>
              </w:rPr>
              <w:t>Project 2:</w:t>
            </w:r>
            <w:r w:rsidRPr="00886C91">
              <w:rPr>
                <w:b/>
              </w:rPr>
              <w:t xml:space="preserve"> </w:t>
            </w:r>
            <w:r w:rsidRPr="00886C91">
              <w:t>Text messaging to improve treatment and follow-up in chronic conditions: A Systematic Review of evidence applicable to disadvantaged populations (to be submitted as a paper for publication).</w:t>
            </w:r>
          </w:p>
          <w:p w:rsidR="008F70DC" w:rsidRPr="005A4259" w:rsidRDefault="008F70DC" w:rsidP="005A4259">
            <w:pPr>
              <w:rPr>
                <w:b/>
              </w:rPr>
            </w:pPr>
          </w:p>
          <w:p w:rsidR="008F70DC" w:rsidRPr="005A4259" w:rsidRDefault="008F70DC" w:rsidP="005A4259">
            <w:pPr>
              <w:rPr>
                <w:vertAlign w:val="superscript"/>
                <w:lang w:val="pt-BR"/>
              </w:rPr>
            </w:pPr>
            <w:smartTag w:uri="urn:schemas-microsoft-com:office:smarttags" w:element="PersonName">
              <w:r w:rsidRPr="005A4259">
                <w:rPr>
                  <w:lang w:val="pt-BR"/>
                </w:rPr>
                <w:t>Elizabeth McDonald</w:t>
              </w:r>
            </w:smartTag>
            <w:r w:rsidRPr="005A4259">
              <w:rPr>
                <w:vertAlign w:val="superscript"/>
                <w:lang w:val="pt-BR"/>
              </w:rPr>
              <w:t>1</w:t>
            </w:r>
          </w:p>
          <w:p w:rsidR="008F70DC" w:rsidRPr="005A4259" w:rsidRDefault="008F70DC" w:rsidP="005A4259">
            <w:pPr>
              <w:rPr>
                <w:vertAlign w:val="superscript"/>
                <w:lang w:val="pt-BR"/>
              </w:rPr>
            </w:pPr>
            <w:smartTag w:uri="urn:schemas-microsoft-com:office:smarttags" w:element="PersonName">
              <w:r w:rsidRPr="00764A5E">
                <w:t>Peter Morris</w:t>
              </w:r>
            </w:smartTag>
            <w:r w:rsidRPr="005A4259">
              <w:rPr>
                <w:vertAlign w:val="superscript"/>
              </w:rPr>
              <w:t>1,2</w:t>
            </w:r>
          </w:p>
          <w:p w:rsidR="008F70DC" w:rsidRPr="005A4259" w:rsidRDefault="008F70DC" w:rsidP="005A4259">
            <w:pPr>
              <w:rPr>
                <w:lang w:val="fr-FR"/>
              </w:rPr>
            </w:pPr>
            <w:smartTag w:uri="urn:schemas-microsoft-com:office:smarttags" w:element="PersonName">
              <w:r w:rsidRPr="005A4259">
                <w:rPr>
                  <w:lang w:val="fr-FR"/>
                </w:rPr>
                <w:t>Amanda Leach</w:t>
              </w:r>
            </w:smartTag>
            <w:r w:rsidRPr="005A4259">
              <w:rPr>
                <w:vertAlign w:val="superscript"/>
                <w:lang w:val="fr-FR"/>
              </w:rPr>
              <w:t>1</w:t>
            </w:r>
          </w:p>
          <w:p w:rsidR="008F70DC" w:rsidRPr="005A4259" w:rsidRDefault="008F70DC" w:rsidP="005A4259">
            <w:pPr>
              <w:rPr>
                <w:b/>
                <w:sz w:val="20"/>
                <w:szCs w:val="20"/>
              </w:rPr>
            </w:pPr>
          </w:p>
          <w:p w:rsidR="008F70DC" w:rsidRPr="005A4259" w:rsidRDefault="008F70DC" w:rsidP="005A4259">
            <w:pPr>
              <w:rPr>
                <w:b/>
              </w:rPr>
            </w:pPr>
          </w:p>
        </w:tc>
      </w:tr>
      <w:tr w:rsidR="008F70DC" w:rsidTr="005A4259">
        <w:tc>
          <w:tcPr>
            <w:tcW w:w="4361" w:type="dxa"/>
          </w:tcPr>
          <w:p w:rsidR="008F70DC" w:rsidRPr="00886C91" w:rsidRDefault="008F70DC" w:rsidP="005A4259">
            <w:pPr>
              <w:rPr>
                <w:b/>
              </w:rPr>
            </w:pPr>
            <w:r w:rsidRPr="006975A5">
              <w:rPr>
                <w:rStyle w:val="Heading3Char"/>
              </w:rPr>
              <w:t>Project 3:</w:t>
            </w:r>
            <w:r w:rsidRPr="00886C91">
              <w:rPr>
                <w:b/>
              </w:rPr>
              <w:t xml:space="preserve"> </w:t>
            </w:r>
            <w:r w:rsidRPr="00886C91">
              <w:t>Can mobile phone MMS and text messages improve clinic attendance for Aboriginal children with chronic otitis media</w:t>
            </w:r>
            <w:proofErr w:type="gramStart"/>
            <w:r w:rsidRPr="00886C91">
              <w:t>?:</w:t>
            </w:r>
            <w:proofErr w:type="gramEnd"/>
            <w:r w:rsidRPr="00886C91">
              <w:t xml:space="preserve"> a randomised controlled trial (to be submitted as a paper for publication).</w:t>
            </w:r>
          </w:p>
          <w:p w:rsidR="008F70DC" w:rsidRDefault="008F70DC" w:rsidP="005A4259">
            <w:pPr>
              <w:contextualSpacing/>
            </w:pPr>
          </w:p>
          <w:p w:rsidR="008F70DC" w:rsidRPr="005A4259" w:rsidRDefault="008F70DC" w:rsidP="005A4259">
            <w:pPr>
              <w:contextualSpacing/>
              <w:rPr>
                <w:b/>
              </w:rPr>
            </w:pPr>
            <w:r w:rsidRPr="00764A5E">
              <w:t>James H Phillips</w:t>
            </w:r>
            <w:r w:rsidRPr="005A4259">
              <w:rPr>
                <w:vertAlign w:val="superscript"/>
              </w:rPr>
              <w:t>1,2</w:t>
            </w:r>
            <w:r w:rsidRPr="00764A5E">
              <w:t xml:space="preserve"> </w:t>
            </w:r>
          </w:p>
          <w:p w:rsidR="008F70DC" w:rsidRPr="00764A5E" w:rsidRDefault="008F70DC" w:rsidP="005A4259">
            <w:smartTag w:uri="urn:schemas-microsoft-com:office:smarttags" w:element="PersonName">
              <w:r w:rsidRPr="00764A5E">
                <w:t>Christine Wigger</w:t>
              </w:r>
            </w:smartTag>
            <w:r w:rsidRPr="005A4259">
              <w:rPr>
                <w:vertAlign w:val="superscript"/>
              </w:rPr>
              <w:t>1</w:t>
            </w:r>
            <w:r w:rsidRPr="00764A5E">
              <w:t xml:space="preserve"> </w:t>
            </w:r>
          </w:p>
          <w:p w:rsidR="008F70DC" w:rsidRPr="00764A5E" w:rsidRDefault="008F70DC" w:rsidP="005A4259">
            <w:r w:rsidRPr="00764A5E">
              <w:t>Gabrielle B McCallum</w:t>
            </w:r>
            <w:r w:rsidRPr="005A4259">
              <w:rPr>
                <w:vertAlign w:val="superscript"/>
              </w:rPr>
              <w:t>1</w:t>
            </w:r>
            <w:r w:rsidRPr="00764A5E">
              <w:t xml:space="preserve"> </w:t>
            </w:r>
          </w:p>
          <w:p w:rsidR="008F70DC" w:rsidRPr="00764A5E" w:rsidRDefault="008F70DC" w:rsidP="005A4259">
            <w:smartTag w:uri="urn:schemas-microsoft-com:office:smarttags" w:element="PersonName">
              <w:r w:rsidRPr="00764A5E">
                <w:t>Anna Stephen</w:t>
              </w:r>
            </w:smartTag>
            <w:r w:rsidRPr="005A4259">
              <w:rPr>
                <w:vertAlign w:val="superscript"/>
              </w:rPr>
              <w:t>1</w:t>
            </w:r>
            <w:r w:rsidRPr="00764A5E">
              <w:t xml:space="preserve"> </w:t>
            </w:r>
          </w:p>
          <w:p w:rsidR="008F70DC" w:rsidRPr="00764A5E" w:rsidRDefault="008F70DC" w:rsidP="005A4259">
            <w:smartTag w:uri="urn:schemas-microsoft-com:office:smarttags" w:element="PersonName">
              <w:r w:rsidRPr="00764A5E">
                <w:t>Amanda Leach</w:t>
              </w:r>
            </w:smartTag>
            <w:r w:rsidRPr="005A4259">
              <w:rPr>
                <w:vertAlign w:val="superscript"/>
              </w:rPr>
              <w:t>1</w:t>
            </w:r>
            <w:r w:rsidRPr="00764A5E">
              <w:t xml:space="preserve"> </w:t>
            </w:r>
          </w:p>
          <w:p w:rsidR="008F70DC" w:rsidRPr="0057663C" w:rsidRDefault="008F70DC" w:rsidP="005A4259">
            <w:r w:rsidRPr="00764A5E">
              <w:t>Peter S Morris</w:t>
            </w:r>
            <w:r w:rsidRPr="005A4259">
              <w:rPr>
                <w:vertAlign w:val="superscript"/>
              </w:rPr>
              <w:t>1,</w:t>
            </w:r>
            <w:r>
              <w:rPr>
                <w:vertAlign w:val="superscript"/>
              </w:rPr>
              <w:t>2</w:t>
            </w:r>
          </w:p>
        </w:tc>
        <w:tc>
          <w:tcPr>
            <w:tcW w:w="4681" w:type="dxa"/>
          </w:tcPr>
          <w:p w:rsidR="008F70DC" w:rsidRDefault="008F70DC" w:rsidP="00473BD1">
            <w:pPr>
              <w:spacing w:after="840"/>
            </w:pPr>
            <w:r w:rsidRPr="006975A5">
              <w:rPr>
                <w:rStyle w:val="Heading3Char"/>
              </w:rPr>
              <w:t>Project 4:</w:t>
            </w:r>
            <w:r w:rsidRPr="005A4259">
              <w:rPr>
                <w:b/>
              </w:rPr>
              <w:t xml:space="preserve"> </w:t>
            </w:r>
            <w:r w:rsidRPr="00886C91">
              <w:t>Prevalence study of children with otitis media living in regional and remote Northern Territory</w:t>
            </w:r>
          </w:p>
          <w:p w:rsidR="008F70DC" w:rsidRPr="005A4259" w:rsidRDefault="008F70DC" w:rsidP="00CD5BC3">
            <w:pPr>
              <w:rPr>
                <w:vertAlign w:val="superscript"/>
              </w:rPr>
            </w:pPr>
            <w:smartTag w:uri="urn:schemas-microsoft-com:office:smarttags" w:element="PersonName">
              <w:r w:rsidRPr="00764A5E">
                <w:t>Amanda Leach</w:t>
              </w:r>
            </w:smartTag>
            <w:r w:rsidRPr="005A4259">
              <w:rPr>
                <w:vertAlign w:val="superscript"/>
              </w:rPr>
              <w:t>1</w:t>
            </w:r>
          </w:p>
          <w:p w:rsidR="008F70DC" w:rsidRPr="005A4259" w:rsidRDefault="008F70DC" w:rsidP="005A4259">
            <w:pPr>
              <w:rPr>
                <w:vertAlign w:val="superscript"/>
              </w:rPr>
            </w:pPr>
            <w:smartTag w:uri="urn:schemas-microsoft-com:office:smarttags" w:element="PersonName">
              <w:r w:rsidRPr="00764A5E">
                <w:t>Peter Morris</w:t>
              </w:r>
            </w:smartTag>
            <w:r w:rsidRPr="005A4259">
              <w:rPr>
                <w:vertAlign w:val="superscript"/>
              </w:rPr>
              <w:t>1,2</w:t>
            </w:r>
          </w:p>
          <w:p w:rsidR="008F70DC" w:rsidRPr="005A4259" w:rsidRDefault="008F70DC" w:rsidP="005A4259">
            <w:pPr>
              <w:rPr>
                <w:vertAlign w:val="superscript"/>
              </w:rPr>
            </w:pPr>
            <w:smartTag w:uri="urn:schemas-microsoft-com:office:smarttags" w:element="PersonName">
              <w:r w:rsidRPr="00764A5E">
                <w:t>Christine Wigger</w:t>
              </w:r>
            </w:smartTag>
            <w:r w:rsidRPr="005A4259">
              <w:rPr>
                <w:vertAlign w:val="superscript"/>
              </w:rPr>
              <w:t>1</w:t>
            </w:r>
          </w:p>
          <w:p w:rsidR="008F70DC" w:rsidRPr="005A4259" w:rsidRDefault="008F70DC" w:rsidP="005A4259">
            <w:pPr>
              <w:rPr>
                <w:vertAlign w:val="superscript"/>
              </w:rPr>
            </w:pPr>
            <w:smartTag w:uri="urn:schemas-microsoft-com:office:smarttags" w:element="PersonName">
              <w:r w:rsidRPr="00764A5E">
                <w:t>Ross Andrews</w:t>
              </w:r>
            </w:smartTag>
            <w:r w:rsidRPr="005A4259">
              <w:rPr>
                <w:vertAlign w:val="superscript"/>
              </w:rPr>
              <w:t>1</w:t>
            </w:r>
          </w:p>
          <w:p w:rsidR="008F70DC" w:rsidRPr="005A4259" w:rsidRDefault="008F70DC" w:rsidP="005A4259">
            <w:pPr>
              <w:rPr>
                <w:vertAlign w:val="superscript"/>
              </w:rPr>
            </w:pPr>
            <w:r w:rsidRPr="00764A5E">
              <w:t>Mark Chatfield</w:t>
            </w:r>
            <w:r w:rsidRPr="005A4259">
              <w:rPr>
                <w:vertAlign w:val="superscript"/>
              </w:rPr>
              <w:t>1</w:t>
            </w:r>
          </w:p>
          <w:p w:rsidR="008F70DC" w:rsidRPr="005A4259" w:rsidRDefault="008F70DC" w:rsidP="005A4259">
            <w:pPr>
              <w:rPr>
                <w:b/>
              </w:rPr>
            </w:pPr>
          </w:p>
        </w:tc>
      </w:tr>
    </w:tbl>
    <w:p w:rsidR="00BA6265" w:rsidRDefault="00BA6265" w:rsidP="00660039">
      <w:pPr>
        <w:rPr>
          <w:b/>
        </w:rPr>
      </w:pPr>
    </w:p>
    <w:p w:rsidR="00BA6265" w:rsidRDefault="00BA6265" w:rsidP="00660039">
      <w:pPr>
        <w:rPr>
          <w:b/>
        </w:rPr>
      </w:pPr>
    </w:p>
    <w:p w:rsidR="00BA6265" w:rsidRDefault="00BA6265" w:rsidP="00660039">
      <w:pPr>
        <w:rPr>
          <w:b/>
        </w:rPr>
      </w:pPr>
    </w:p>
    <w:tbl>
      <w:tblPr>
        <w:tblW w:w="0" w:type="auto"/>
        <w:tblLook w:val="00A0" w:firstRow="1" w:lastRow="0" w:firstColumn="1" w:lastColumn="0" w:noHBand="0" w:noVBand="0"/>
      </w:tblPr>
      <w:tblGrid>
        <w:gridCol w:w="4998"/>
        <w:gridCol w:w="4999"/>
      </w:tblGrid>
      <w:tr w:rsidR="00BA6265" w:rsidTr="006975A5">
        <w:trPr>
          <w:trHeight w:val="983"/>
        </w:trPr>
        <w:tc>
          <w:tcPr>
            <w:tcW w:w="9997" w:type="dxa"/>
            <w:gridSpan w:val="2"/>
            <w:tcBorders>
              <w:top w:val="single" w:sz="4" w:space="0" w:color="auto"/>
              <w:bottom w:val="single" w:sz="6" w:space="0" w:color="auto"/>
            </w:tcBorders>
          </w:tcPr>
          <w:p w:rsidR="00BA6265" w:rsidRPr="00A961E4" w:rsidRDefault="00BA6265" w:rsidP="00041D60">
            <w:pPr>
              <w:pStyle w:val="Heading1"/>
            </w:pPr>
            <w:r w:rsidRPr="00A961E4">
              <w:t>Table of Contents</w:t>
            </w:r>
          </w:p>
        </w:tc>
      </w:tr>
      <w:tr w:rsidR="00BA6265" w:rsidTr="00A961E4">
        <w:tc>
          <w:tcPr>
            <w:tcW w:w="4998" w:type="dxa"/>
            <w:tcBorders>
              <w:top w:val="single" w:sz="6" w:space="0" w:color="auto"/>
              <w:bottom w:val="single" w:sz="6" w:space="0" w:color="auto"/>
              <w:right w:val="single" w:sz="6" w:space="0" w:color="auto"/>
            </w:tcBorders>
          </w:tcPr>
          <w:p w:rsidR="00BA6265" w:rsidRPr="006975A5" w:rsidRDefault="00BA6265" w:rsidP="006975A5">
            <w:pPr>
              <w:pStyle w:val="Heading2"/>
              <w:spacing w:before="120" w:after="120"/>
              <w:jc w:val="left"/>
              <w:rPr>
                <w:b w:val="0"/>
              </w:rPr>
            </w:pPr>
            <w:r w:rsidRPr="006975A5">
              <w:rPr>
                <w:b w:val="0"/>
              </w:rPr>
              <w:t>Executive Summary</w:t>
            </w:r>
          </w:p>
        </w:tc>
        <w:tc>
          <w:tcPr>
            <w:tcW w:w="4999" w:type="dxa"/>
            <w:tcBorders>
              <w:top w:val="single" w:sz="6" w:space="0" w:color="auto"/>
              <w:left w:val="single" w:sz="6" w:space="0" w:color="auto"/>
              <w:bottom w:val="single" w:sz="6" w:space="0" w:color="auto"/>
            </w:tcBorders>
          </w:tcPr>
          <w:p w:rsidR="00BA6265" w:rsidRPr="006975A5" w:rsidRDefault="00BA6265" w:rsidP="006975A5">
            <w:pPr>
              <w:pStyle w:val="Heading2"/>
              <w:spacing w:before="120" w:after="120"/>
              <w:jc w:val="right"/>
              <w:rPr>
                <w:b w:val="0"/>
              </w:rPr>
            </w:pPr>
            <w:r w:rsidRPr="006975A5">
              <w:rPr>
                <w:b w:val="0"/>
              </w:rPr>
              <w:t>4</w:t>
            </w:r>
          </w:p>
        </w:tc>
      </w:tr>
      <w:tr w:rsidR="00BA6265" w:rsidTr="00A961E4">
        <w:tc>
          <w:tcPr>
            <w:tcW w:w="4998" w:type="dxa"/>
            <w:tcBorders>
              <w:top w:val="single" w:sz="6" w:space="0" w:color="auto"/>
              <w:bottom w:val="single" w:sz="6" w:space="0" w:color="auto"/>
              <w:right w:val="single" w:sz="6" w:space="0" w:color="auto"/>
            </w:tcBorders>
          </w:tcPr>
          <w:p w:rsidR="00BA6265" w:rsidRPr="006975A5" w:rsidRDefault="00BA6265" w:rsidP="006975A5">
            <w:pPr>
              <w:pStyle w:val="Heading2"/>
              <w:spacing w:before="120" w:after="120"/>
              <w:jc w:val="left"/>
              <w:rPr>
                <w:b w:val="0"/>
              </w:rPr>
            </w:pPr>
            <w:r w:rsidRPr="006975A5">
              <w:rPr>
                <w:b w:val="0"/>
              </w:rPr>
              <w:t>Introduction</w:t>
            </w:r>
          </w:p>
        </w:tc>
        <w:tc>
          <w:tcPr>
            <w:tcW w:w="4999" w:type="dxa"/>
            <w:tcBorders>
              <w:top w:val="single" w:sz="6" w:space="0" w:color="auto"/>
              <w:left w:val="single" w:sz="6" w:space="0" w:color="auto"/>
              <w:bottom w:val="single" w:sz="6" w:space="0" w:color="auto"/>
            </w:tcBorders>
          </w:tcPr>
          <w:p w:rsidR="00BA6265" w:rsidRPr="006975A5" w:rsidRDefault="00BA6265" w:rsidP="006975A5">
            <w:pPr>
              <w:pStyle w:val="Heading2"/>
              <w:spacing w:before="120" w:after="120"/>
              <w:jc w:val="right"/>
              <w:rPr>
                <w:b w:val="0"/>
              </w:rPr>
            </w:pPr>
            <w:r w:rsidRPr="006975A5">
              <w:rPr>
                <w:b w:val="0"/>
              </w:rPr>
              <w:t>8</w:t>
            </w:r>
          </w:p>
        </w:tc>
      </w:tr>
      <w:tr w:rsidR="00BA6265" w:rsidTr="00A961E4">
        <w:tc>
          <w:tcPr>
            <w:tcW w:w="4998" w:type="dxa"/>
            <w:tcBorders>
              <w:top w:val="single" w:sz="6" w:space="0" w:color="auto"/>
              <w:bottom w:val="single" w:sz="6" w:space="0" w:color="auto"/>
              <w:right w:val="single" w:sz="6" w:space="0" w:color="auto"/>
            </w:tcBorders>
          </w:tcPr>
          <w:p w:rsidR="00BA6265" w:rsidRPr="006975A5" w:rsidRDefault="00BA6265" w:rsidP="006975A5">
            <w:pPr>
              <w:pStyle w:val="Heading2"/>
              <w:spacing w:before="120" w:after="120"/>
              <w:jc w:val="left"/>
              <w:rPr>
                <w:b w:val="0"/>
              </w:rPr>
            </w:pPr>
            <w:r w:rsidRPr="006975A5">
              <w:rPr>
                <w:b w:val="0"/>
              </w:rPr>
              <w:t>Project Reports</w:t>
            </w:r>
          </w:p>
        </w:tc>
        <w:tc>
          <w:tcPr>
            <w:tcW w:w="4999" w:type="dxa"/>
            <w:tcBorders>
              <w:top w:val="single" w:sz="6" w:space="0" w:color="auto"/>
              <w:left w:val="single" w:sz="6" w:space="0" w:color="auto"/>
              <w:bottom w:val="single" w:sz="6" w:space="0" w:color="auto"/>
            </w:tcBorders>
          </w:tcPr>
          <w:p w:rsidR="00BA6265" w:rsidRPr="006975A5" w:rsidRDefault="00BA6265" w:rsidP="006975A5">
            <w:pPr>
              <w:pStyle w:val="Heading2"/>
              <w:spacing w:before="120" w:after="120"/>
              <w:jc w:val="right"/>
              <w:rPr>
                <w:b w:val="0"/>
              </w:rPr>
            </w:pPr>
          </w:p>
        </w:tc>
      </w:tr>
      <w:tr w:rsidR="00BA6265" w:rsidTr="00A961E4">
        <w:tc>
          <w:tcPr>
            <w:tcW w:w="4998" w:type="dxa"/>
            <w:tcBorders>
              <w:top w:val="single" w:sz="6" w:space="0" w:color="auto"/>
              <w:bottom w:val="single" w:sz="6" w:space="0" w:color="auto"/>
              <w:right w:val="single" w:sz="6" w:space="0" w:color="auto"/>
            </w:tcBorders>
          </w:tcPr>
          <w:p w:rsidR="00BA6265" w:rsidRPr="006975A5" w:rsidRDefault="00BA6265" w:rsidP="006975A5">
            <w:pPr>
              <w:pStyle w:val="Heading2"/>
              <w:spacing w:before="120" w:after="120"/>
              <w:ind w:left="567"/>
              <w:jc w:val="left"/>
              <w:rPr>
                <w:b w:val="0"/>
              </w:rPr>
            </w:pPr>
            <w:r w:rsidRPr="006975A5">
              <w:rPr>
                <w:b w:val="0"/>
              </w:rPr>
              <w:t>Project 1</w:t>
            </w:r>
          </w:p>
        </w:tc>
        <w:tc>
          <w:tcPr>
            <w:tcW w:w="4999" w:type="dxa"/>
            <w:tcBorders>
              <w:top w:val="single" w:sz="6" w:space="0" w:color="auto"/>
              <w:left w:val="single" w:sz="6" w:space="0" w:color="auto"/>
              <w:bottom w:val="single" w:sz="6" w:space="0" w:color="auto"/>
            </w:tcBorders>
          </w:tcPr>
          <w:p w:rsidR="00BA6265" w:rsidRPr="006975A5" w:rsidRDefault="00BA6265" w:rsidP="006975A5">
            <w:pPr>
              <w:pStyle w:val="Heading2"/>
              <w:spacing w:before="120" w:after="120"/>
              <w:jc w:val="right"/>
              <w:rPr>
                <w:b w:val="0"/>
              </w:rPr>
            </w:pPr>
            <w:r w:rsidRPr="006975A5">
              <w:rPr>
                <w:b w:val="0"/>
              </w:rPr>
              <w:t>9</w:t>
            </w:r>
          </w:p>
        </w:tc>
      </w:tr>
      <w:tr w:rsidR="00BA6265" w:rsidTr="00A961E4">
        <w:tc>
          <w:tcPr>
            <w:tcW w:w="4998" w:type="dxa"/>
            <w:tcBorders>
              <w:top w:val="single" w:sz="6" w:space="0" w:color="auto"/>
              <w:bottom w:val="single" w:sz="6" w:space="0" w:color="auto"/>
              <w:right w:val="single" w:sz="6" w:space="0" w:color="auto"/>
            </w:tcBorders>
          </w:tcPr>
          <w:p w:rsidR="00BA6265" w:rsidRPr="006975A5" w:rsidRDefault="00BA6265" w:rsidP="006975A5">
            <w:pPr>
              <w:pStyle w:val="Heading2"/>
              <w:spacing w:before="120" w:after="120"/>
              <w:ind w:left="567"/>
              <w:jc w:val="left"/>
              <w:rPr>
                <w:b w:val="0"/>
              </w:rPr>
            </w:pPr>
            <w:r w:rsidRPr="006975A5">
              <w:rPr>
                <w:b w:val="0"/>
              </w:rPr>
              <w:t>Project 2</w:t>
            </w:r>
          </w:p>
        </w:tc>
        <w:tc>
          <w:tcPr>
            <w:tcW w:w="4999" w:type="dxa"/>
            <w:tcBorders>
              <w:top w:val="single" w:sz="6" w:space="0" w:color="auto"/>
              <w:left w:val="single" w:sz="6" w:space="0" w:color="auto"/>
              <w:bottom w:val="single" w:sz="6" w:space="0" w:color="auto"/>
            </w:tcBorders>
          </w:tcPr>
          <w:p w:rsidR="00BA6265" w:rsidRPr="006975A5" w:rsidRDefault="00BA6265" w:rsidP="006975A5">
            <w:pPr>
              <w:pStyle w:val="Heading2"/>
              <w:spacing w:before="120" w:after="120"/>
              <w:jc w:val="right"/>
              <w:rPr>
                <w:b w:val="0"/>
              </w:rPr>
            </w:pPr>
            <w:r w:rsidRPr="006975A5">
              <w:rPr>
                <w:b w:val="0"/>
              </w:rPr>
              <w:t>20</w:t>
            </w:r>
          </w:p>
        </w:tc>
      </w:tr>
      <w:tr w:rsidR="00BA6265" w:rsidTr="00A961E4">
        <w:tc>
          <w:tcPr>
            <w:tcW w:w="4998" w:type="dxa"/>
            <w:tcBorders>
              <w:top w:val="single" w:sz="6" w:space="0" w:color="auto"/>
              <w:bottom w:val="single" w:sz="6" w:space="0" w:color="auto"/>
              <w:right w:val="single" w:sz="6" w:space="0" w:color="auto"/>
            </w:tcBorders>
          </w:tcPr>
          <w:p w:rsidR="00BA6265" w:rsidRPr="006975A5" w:rsidRDefault="00BA6265" w:rsidP="006975A5">
            <w:pPr>
              <w:pStyle w:val="Heading2"/>
              <w:spacing w:before="120" w:after="120"/>
              <w:ind w:left="567"/>
              <w:jc w:val="left"/>
              <w:rPr>
                <w:b w:val="0"/>
              </w:rPr>
            </w:pPr>
            <w:r w:rsidRPr="006975A5">
              <w:rPr>
                <w:b w:val="0"/>
              </w:rPr>
              <w:t>Project 3</w:t>
            </w:r>
          </w:p>
        </w:tc>
        <w:tc>
          <w:tcPr>
            <w:tcW w:w="4999" w:type="dxa"/>
            <w:tcBorders>
              <w:top w:val="single" w:sz="6" w:space="0" w:color="auto"/>
              <w:left w:val="single" w:sz="6" w:space="0" w:color="auto"/>
              <w:bottom w:val="single" w:sz="6" w:space="0" w:color="auto"/>
            </w:tcBorders>
          </w:tcPr>
          <w:p w:rsidR="00BA6265" w:rsidRPr="006975A5" w:rsidRDefault="00BA6265" w:rsidP="006975A5">
            <w:pPr>
              <w:pStyle w:val="Heading2"/>
              <w:spacing w:before="120" w:after="120"/>
              <w:jc w:val="right"/>
              <w:rPr>
                <w:b w:val="0"/>
              </w:rPr>
            </w:pPr>
            <w:r w:rsidRPr="006975A5">
              <w:rPr>
                <w:b w:val="0"/>
              </w:rPr>
              <w:t>35</w:t>
            </w:r>
          </w:p>
        </w:tc>
      </w:tr>
      <w:tr w:rsidR="00BA6265" w:rsidTr="00A961E4">
        <w:tc>
          <w:tcPr>
            <w:tcW w:w="4998" w:type="dxa"/>
            <w:tcBorders>
              <w:top w:val="single" w:sz="6" w:space="0" w:color="auto"/>
              <w:bottom w:val="single" w:sz="6" w:space="0" w:color="auto"/>
              <w:right w:val="single" w:sz="6" w:space="0" w:color="auto"/>
            </w:tcBorders>
          </w:tcPr>
          <w:p w:rsidR="00BA6265" w:rsidRPr="006975A5" w:rsidRDefault="00BA6265" w:rsidP="006975A5">
            <w:pPr>
              <w:pStyle w:val="Heading2"/>
              <w:spacing w:before="120" w:after="120"/>
              <w:ind w:left="567"/>
              <w:jc w:val="left"/>
              <w:rPr>
                <w:b w:val="0"/>
              </w:rPr>
            </w:pPr>
            <w:r w:rsidRPr="006975A5">
              <w:rPr>
                <w:b w:val="0"/>
              </w:rPr>
              <w:t>Project 4</w:t>
            </w:r>
          </w:p>
        </w:tc>
        <w:tc>
          <w:tcPr>
            <w:tcW w:w="4999" w:type="dxa"/>
            <w:tcBorders>
              <w:top w:val="single" w:sz="6" w:space="0" w:color="auto"/>
              <w:left w:val="single" w:sz="6" w:space="0" w:color="auto"/>
              <w:bottom w:val="single" w:sz="6" w:space="0" w:color="auto"/>
            </w:tcBorders>
          </w:tcPr>
          <w:p w:rsidR="00BA6265" w:rsidRPr="006975A5" w:rsidRDefault="00BA6265" w:rsidP="006975A5">
            <w:pPr>
              <w:pStyle w:val="Heading2"/>
              <w:spacing w:before="120" w:after="120"/>
              <w:jc w:val="right"/>
              <w:rPr>
                <w:b w:val="0"/>
              </w:rPr>
            </w:pPr>
            <w:r w:rsidRPr="006975A5">
              <w:rPr>
                <w:b w:val="0"/>
              </w:rPr>
              <w:t>44</w:t>
            </w:r>
          </w:p>
        </w:tc>
      </w:tr>
      <w:tr w:rsidR="00BA6265" w:rsidTr="00A961E4">
        <w:tc>
          <w:tcPr>
            <w:tcW w:w="4998" w:type="dxa"/>
            <w:tcBorders>
              <w:top w:val="single" w:sz="6" w:space="0" w:color="auto"/>
              <w:bottom w:val="single" w:sz="6" w:space="0" w:color="auto"/>
              <w:right w:val="single" w:sz="6" w:space="0" w:color="auto"/>
            </w:tcBorders>
          </w:tcPr>
          <w:p w:rsidR="00BA6265" w:rsidRPr="006975A5" w:rsidRDefault="00BA6265" w:rsidP="006975A5">
            <w:pPr>
              <w:pStyle w:val="Heading2"/>
              <w:spacing w:before="120" w:after="120"/>
              <w:jc w:val="left"/>
              <w:rPr>
                <w:b w:val="0"/>
              </w:rPr>
            </w:pPr>
            <w:r w:rsidRPr="006975A5">
              <w:rPr>
                <w:b w:val="0"/>
              </w:rPr>
              <w:t>Conclusions</w:t>
            </w:r>
          </w:p>
        </w:tc>
        <w:tc>
          <w:tcPr>
            <w:tcW w:w="4999" w:type="dxa"/>
            <w:tcBorders>
              <w:top w:val="single" w:sz="6" w:space="0" w:color="auto"/>
              <w:left w:val="single" w:sz="6" w:space="0" w:color="auto"/>
              <w:bottom w:val="single" w:sz="6" w:space="0" w:color="auto"/>
            </w:tcBorders>
          </w:tcPr>
          <w:p w:rsidR="00BA6265" w:rsidRPr="006975A5" w:rsidRDefault="00BA6265" w:rsidP="006975A5">
            <w:pPr>
              <w:pStyle w:val="Heading2"/>
              <w:spacing w:before="120" w:after="120"/>
              <w:jc w:val="right"/>
              <w:rPr>
                <w:b w:val="0"/>
              </w:rPr>
            </w:pPr>
            <w:r w:rsidRPr="006975A5">
              <w:rPr>
                <w:b w:val="0"/>
              </w:rPr>
              <w:t>52</w:t>
            </w:r>
          </w:p>
        </w:tc>
      </w:tr>
      <w:tr w:rsidR="00BA6265" w:rsidTr="00A961E4">
        <w:tc>
          <w:tcPr>
            <w:tcW w:w="4998" w:type="dxa"/>
            <w:tcBorders>
              <w:top w:val="single" w:sz="6" w:space="0" w:color="auto"/>
              <w:bottom w:val="single" w:sz="6" w:space="0" w:color="auto"/>
              <w:right w:val="single" w:sz="6" w:space="0" w:color="auto"/>
            </w:tcBorders>
          </w:tcPr>
          <w:p w:rsidR="00BA6265" w:rsidRPr="006975A5" w:rsidRDefault="00BA6265" w:rsidP="006975A5">
            <w:pPr>
              <w:pStyle w:val="Heading2"/>
              <w:spacing w:before="120" w:after="120"/>
              <w:jc w:val="left"/>
              <w:rPr>
                <w:b w:val="0"/>
              </w:rPr>
            </w:pPr>
            <w:r w:rsidRPr="006975A5">
              <w:rPr>
                <w:b w:val="0"/>
              </w:rPr>
              <w:t>References</w:t>
            </w:r>
          </w:p>
        </w:tc>
        <w:tc>
          <w:tcPr>
            <w:tcW w:w="4999" w:type="dxa"/>
            <w:tcBorders>
              <w:top w:val="single" w:sz="6" w:space="0" w:color="auto"/>
              <w:left w:val="single" w:sz="6" w:space="0" w:color="auto"/>
              <w:bottom w:val="single" w:sz="6" w:space="0" w:color="auto"/>
            </w:tcBorders>
          </w:tcPr>
          <w:p w:rsidR="00BA6265" w:rsidRPr="006975A5" w:rsidRDefault="00BA6265" w:rsidP="006975A5">
            <w:pPr>
              <w:pStyle w:val="Heading2"/>
              <w:spacing w:before="120" w:after="120"/>
              <w:jc w:val="right"/>
              <w:rPr>
                <w:b w:val="0"/>
              </w:rPr>
            </w:pPr>
            <w:r w:rsidRPr="006975A5">
              <w:rPr>
                <w:b w:val="0"/>
              </w:rPr>
              <w:t>54</w:t>
            </w:r>
          </w:p>
        </w:tc>
      </w:tr>
      <w:tr w:rsidR="00BA6265" w:rsidTr="00A961E4">
        <w:tc>
          <w:tcPr>
            <w:tcW w:w="4998" w:type="dxa"/>
            <w:tcBorders>
              <w:top w:val="single" w:sz="6" w:space="0" w:color="auto"/>
              <w:bottom w:val="single" w:sz="6" w:space="0" w:color="auto"/>
              <w:right w:val="single" w:sz="6" w:space="0" w:color="auto"/>
            </w:tcBorders>
          </w:tcPr>
          <w:p w:rsidR="00BA6265" w:rsidRPr="006975A5" w:rsidRDefault="00BA6265" w:rsidP="006975A5">
            <w:pPr>
              <w:pStyle w:val="Heading2"/>
              <w:spacing w:before="120" w:after="120"/>
              <w:jc w:val="left"/>
              <w:rPr>
                <w:b w:val="0"/>
              </w:rPr>
            </w:pPr>
            <w:r w:rsidRPr="006975A5">
              <w:rPr>
                <w:b w:val="0"/>
              </w:rPr>
              <w:t>Appendix</w:t>
            </w:r>
          </w:p>
        </w:tc>
        <w:tc>
          <w:tcPr>
            <w:tcW w:w="4999" w:type="dxa"/>
            <w:tcBorders>
              <w:top w:val="single" w:sz="6" w:space="0" w:color="auto"/>
              <w:left w:val="single" w:sz="6" w:space="0" w:color="auto"/>
              <w:bottom w:val="single" w:sz="6" w:space="0" w:color="auto"/>
            </w:tcBorders>
          </w:tcPr>
          <w:p w:rsidR="00BA6265" w:rsidRPr="006975A5" w:rsidRDefault="00BA6265" w:rsidP="006975A5">
            <w:pPr>
              <w:pStyle w:val="Heading2"/>
              <w:spacing w:before="120" w:after="120"/>
              <w:jc w:val="right"/>
              <w:rPr>
                <w:b w:val="0"/>
              </w:rPr>
            </w:pPr>
            <w:r w:rsidRPr="006975A5">
              <w:rPr>
                <w:b w:val="0"/>
              </w:rPr>
              <w:t>64</w:t>
            </w:r>
          </w:p>
        </w:tc>
      </w:tr>
    </w:tbl>
    <w:p w:rsidR="00BA6265" w:rsidRDefault="00BA6265" w:rsidP="00660039"/>
    <w:p w:rsidR="00BA6265" w:rsidRDefault="00BA6265" w:rsidP="00660039">
      <w:pPr>
        <w:rPr>
          <w:b/>
        </w:rPr>
      </w:pPr>
      <w:r>
        <w:rPr>
          <w:b/>
        </w:rPr>
        <w:br w:type="page"/>
      </w:r>
    </w:p>
    <w:p w:rsidR="00BA6265" w:rsidRDefault="00BA6265" w:rsidP="006975A5">
      <w:pPr>
        <w:pStyle w:val="Heading3"/>
      </w:pPr>
      <w:r>
        <w:lastRenderedPageBreak/>
        <w:t>EXECUTIVE SUMMARY</w:t>
      </w:r>
    </w:p>
    <w:p w:rsidR="00BA6265" w:rsidRPr="002F2218" w:rsidRDefault="00BA6265" w:rsidP="001D38A4">
      <w:pPr>
        <w:pStyle w:val="Heading4"/>
      </w:pPr>
      <w:r>
        <w:t>Background</w:t>
      </w:r>
    </w:p>
    <w:p w:rsidR="008041C8" w:rsidRDefault="00BA6265" w:rsidP="001D38A4">
      <w:r>
        <w:t xml:space="preserve">Aboriginal children in the Northern Territory have the highest reported rates of acute and chronic ear infections in the world, with severe otitis media being one of the most important health problems.  Subsequently, 50-80% of Aboriginal children living in the remote Northern Territory are likely to have significant hearing loss; a condition which leads to learning difficulty and social problems in an already disadvantaged population. Chronic </w:t>
      </w:r>
      <w:proofErr w:type="spellStart"/>
      <w:r>
        <w:t>suppurative</w:t>
      </w:r>
      <w:proofErr w:type="spellEnd"/>
      <w:r>
        <w:t xml:space="preserve"> otitis media (CSOM) is present when the middle ear infection causes pus to drain from the ear for periods greater than 6 weeks (and often years).  This severe infection causes progressive (and often permanent damage) to the tympanic membrane.  It also has the greatest impact on hearing.  For Aboriginal children in the NT, the early stage of onset (and the persistent nature of this infection) means that early intervention, ongoing effective medical management, and monitoring of the disease are critically important.</w:t>
      </w:r>
    </w:p>
    <w:p w:rsidR="00BA6265" w:rsidRDefault="00BA6265" w:rsidP="006975A5">
      <w:r>
        <w:t xml:space="preserve">Commonwealth funding was provided to the Ear Health Unit of the Child Health Division of the Menzies School of Research to conduct 4 projects.  All the projects are related to achieving more effective treatment, management and monitoring of chronic </w:t>
      </w:r>
      <w:proofErr w:type="spellStart"/>
      <w:r>
        <w:t>suppurative</w:t>
      </w:r>
      <w:proofErr w:type="spellEnd"/>
      <w:r>
        <w:t xml:space="preserve"> otitis media (CSOM) in Aboriginal children living in remote Northern Territory. </w:t>
      </w:r>
    </w:p>
    <w:p w:rsidR="00BA6265" w:rsidRDefault="00BA6265" w:rsidP="00660039"/>
    <w:p w:rsidR="00BA6265" w:rsidRDefault="00BA6265" w:rsidP="006975A5">
      <w:r>
        <w:t>These projects include:</w:t>
      </w:r>
    </w:p>
    <w:p w:rsidR="00BA6265" w:rsidRDefault="00BA6265" w:rsidP="00660039"/>
    <w:p w:rsidR="00BA6265" w:rsidRDefault="00BA6265" w:rsidP="00FC18C9">
      <w:pPr>
        <w:pStyle w:val="ListParagraph"/>
        <w:numPr>
          <w:ilvl w:val="0"/>
          <w:numId w:val="15"/>
        </w:numPr>
      </w:pPr>
      <w:r>
        <w:t xml:space="preserve">The design of a randomised controlled clinical trial with the primary aim of determining the beneficial effects of additional antiseptic syringing and oral antibiotic treatment in children with chronic </w:t>
      </w:r>
      <w:proofErr w:type="spellStart"/>
      <w:r>
        <w:t>suppurative</w:t>
      </w:r>
      <w:proofErr w:type="spellEnd"/>
      <w:r>
        <w:t xml:space="preserve"> otitis media (</w:t>
      </w:r>
      <w:r w:rsidRPr="006975A5">
        <w:rPr>
          <w:i/>
        </w:rPr>
        <w:t>NHMRC proposal</w:t>
      </w:r>
      <w:r>
        <w:t>).</w:t>
      </w:r>
    </w:p>
    <w:p w:rsidR="00BA6265" w:rsidRDefault="00BA6265" w:rsidP="00FC18C9">
      <w:pPr>
        <w:pStyle w:val="ListParagraph"/>
        <w:numPr>
          <w:ilvl w:val="0"/>
          <w:numId w:val="15"/>
        </w:numPr>
      </w:pPr>
      <w:r>
        <w:t>A Systematic Review of the literature surrounding mobile text messaging, and its effect on treatment and follow up in people with chronic conditions (</w:t>
      </w:r>
      <w:r w:rsidRPr="006975A5">
        <w:rPr>
          <w:i/>
        </w:rPr>
        <w:t>paper for publication</w:t>
      </w:r>
      <w:r>
        <w:t>).</w:t>
      </w:r>
    </w:p>
    <w:p w:rsidR="00BA6265" w:rsidRDefault="00BA6265" w:rsidP="00FC18C9">
      <w:pPr>
        <w:pStyle w:val="ListParagraph"/>
        <w:numPr>
          <w:ilvl w:val="0"/>
          <w:numId w:val="15"/>
        </w:numPr>
      </w:pPr>
      <w:r>
        <w:t xml:space="preserve">A randomised controlled trial exploring whether </w:t>
      </w:r>
      <w:proofErr w:type="spellStart"/>
      <w:r>
        <w:t>multi media</w:t>
      </w:r>
      <w:proofErr w:type="spellEnd"/>
      <w:r>
        <w:t xml:space="preserve"> phone messages/text messaging can improve clinical attendance for children with otitis media (</w:t>
      </w:r>
      <w:r w:rsidRPr="006975A5">
        <w:rPr>
          <w:i/>
        </w:rPr>
        <w:t>paper for publication</w:t>
      </w:r>
      <w:r>
        <w:t>).</w:t>
      </w:r>
    </w:p>
    <w:p w:rsidR="007349C9" w:rsidRDefault="00BA6265" w:rsidP="00FC18C9">
      <w:pPr>
        <w:pStyle w:val="ListParagraph"/>
        <w:numPr>
          <w:ilvl w:val="0"/>
          <w:numId w:val="15"/>
        </w:numPr>
      </w:pPr>
      <w:r>
        <w:t>Gathering of prevalence data of children with otitis media living in regional and remote Northern Territory (</w:t>
      </w:r>
      <w:r w:rsidRPr="006975A5">
        <w:rPr>
          <w:i/>
        </w:rPr>
        <w:t>surveillance data to inform delivery of services and research priorities</w:t>
      </w:r>
      <w:r>
        <w:t>).</w:t>
      </w:r>
    </w:p>
    <w:p w:rsidR="007349C9" w:rsidRDefault="007349C9">
      <w:pPr>
        <w:jc w:val="left"/>
      </w:pPr>
      <w:r>
        <w:br w:type="page"/>
      </w:r>
    </w:p>
    <w:p w:rsidR="00BA6265" w:rsidRPr="00727BE7" w:rsidRDefault="00BA6265" w:rsidP="001D38A4">
      <w:pPr>
        <w:pStyle w:val="Heading5"/>
        <w:ind w:left="1418" w:hanging="1418"/>
      </w:pPr>
      <w:r w:rsidRPr="00C061B0">
        <w:lastRenderedPageBreak/>
        <w:t>Project 1</w:t>
      </w:r>
      <w:r w:rsidR="001D38A4">
        <w:t>:</w:t>
      </w:r>
      <w:r>
        <w:tab/>
      </w:r>
      <w:r w:rsidRPr="001D38A4">
        <w:t xml:space="preserve">IHEAR BETA Study: The Indigenous Healthy Ears - </w:t>
      </w:r>
      <w:proofErr w:type="spellStart"/>
      <w:r w:rsidRPr="001D38A4">
        <w:t>Betadine</w:t>
      </w:r>
      <w:proofErr w:type="spellEnd"/>
      <w:r w:rsidRPr="001D38A4">
        <w:t>, Tissues and Antibiotics study. A randomised controlled clinical trial (NHMRC proposal).</w:t>
      </w:r>
    </w:p>
    <w:p w:rsidR="00DE2E57" w:rsidRPr="00DE2E57" w:rsidRDefault="00BA6265" w:rsidP="00DE2E57">
      <w:pPr>
        <w:pStyle w:val="Heading6"/>
      </w:pPr>
      <w:r w:rsidRPr="00DE2E57">
        <w:rPr>
          <w:rStyle w:val="Heading6Char"/>
          <w:b/>
          <w:bCs/>
        </w:rPr>
        <w:t>Background/Hypothesis:</w:t>
      </w:r>
      <w:r w:rsidRPr="00DE2E57">
        <w:t xml:space="preserve"> </w:t>
      </w:r>
    </w:p>
    <w:p w:rsidR="00BA6265" w:rsidRDefault="00BA6265" w:rsidP="001D38A4">
      <w:r>
        <w:t xml:space="preserve">Otitis media remains unacceptably common, as well as severe, in Aboriginal children.  The World Health Organization recommends that rates of otitis media in excess of 4% should be regarded as a massive health problem. In some remote communities of the Northern Territory, more than 30% of children are affected. </w:t>
      </w:r>
    </w:p>
    <w:p w:rsidR="00BA6265" w:rsidRDefault="00BA6265" w:rsidP="001D38A4"/>
    <w:p w:rsidR="00BA6265" w:rsidRDefault="00BA6265" w:rsidP="001D38A4">
      <w:r>
        <w:t xml:space="preserve">Although there is a considerable amount of published research on the treatment of otitis media, most of the recommendations are still limited by a lack of relevant randomised controlled trial data. </w:t>
      </w:r>
    </w:p>
    <w:p w:rsidR="00DE2E57" w:rsidRPr="00DE2E57" w:rsidRDefault="00BA6265" w:rsidP="00DE2E57">
      <w:pPr>
        <w:pStyle w:val="Heading6"/>
        <w:rPr>
          <w:rStyle w:val="Heading6Char"/>
          <w:b/>
          <w:bCs/>
        </w:rPr>
      </w:pPr>
      <w:r w:rsidRPr="00DE2E57">
        <w:rPr>
          <w:rStyle w:val="Heading6Char"/>
          <w:b/>
          <w:bCs/>
        </w:rPr>
        <w:t xml:space="preserve">Aim: </w:t>
      </w:r>
    </w:p>
    <w:p w:rsidR="00BA6265" w:rsidRDefault="00BA6265" w:rsidP="00660039">
      <w:r>
        <w:t>The major aim of this randomised controlled trial is to explore the effectiveness of:</w:t>
      </w:r>
    </w:p>
    <w:p w:rsidR="00BA6265" w:rsidRDefault="00BA6265" w:rsidP="00660039"/>
    <w:p w:rsidR="00BA6265" w:rsidRDefault="00BA6265" w:rsidP="00B23C3C">
      <w:pPr>
        <w:pStyle w:val="ListParagraph"/>
        <w:numPr>
          <w:ilvl w:val="0"/>
          <w:numId w:val="4"/>
        </w:numPr>
        <w:tabs>
          <w:tab w:val="left" w:pos="1276"/>
        </w:tabs>
        <w:ind w:left="1276" w:hanging="556"/>
      </w:pPr>
      <w:r>
        <w:t>Providing a new antiseptic treatment for otitis media in addition to the standard antibiotic treatment  (compared to standard treatment alone)</w:t>
      </w:r>
    </w:p>
    <w:p w:rsidR="00DE2E57" w:rsidRDefault="00BA6265" w:rsidP="00B23C3C">
      <w:pPr>
        <w:pStyle w:val="ListParagraph"/>
        <w:numPr>
          <w:ilvl w:val="0"/>
          <w:numId w:val="4"/>
        </w:numPr>
        <w:tabs>
          <w:tab w:val="left" w:pos="1276"/>
        </w:tabs>
        <w:ind w:left="1276" w:hanging="556"/>
      </w:pPr>
      <w:r>
        <w:t>Providing a twice daily antibiotic treatment in addition to the standard antibiotic treatment (compared to placebo)</w:t>
      </w:r>
    </w:p>
    <w:p w:rsidR="00DE2E57" w:rsidRPr="00DE2E57" w:rsidRDefault="00BA6265" w:rsidP="00DE2E57">
      <w:pPr>
        <w:pStyle w:val="Heading6"/>
      </w:pPr>
      <w:r w:rsidRPr="00DE2E57">
        <w:rPr>
          <w:rStyle w:val="Heading6Char"/>
          <w:b/>
          <w:bCs/>
        </w:rPr>
        <w:t>Application:</w:t>
      </w:r>
      <w:r w:rsidRPr="00DE2E57">
        <w:t xml:space="preserve"> </w:t>
      </w:r>
    </w:p>
    <w:p w:rsidR="00BA6265" w:rsidRDefault="00BA6265" w:rsidP="00660039">
      <w:r>
        <w:t xml:space="preserve">Current treatment options are based on evidence from </w:t>
      </w:r>
      <w:proofErr w:type="spellStart"/>
      <w:r>
        <w:t>well designed</w:t>
      </w:r>
      <w:proofErr w:type="spellEnd"/>
      <w:r>
        <w:t xml:space="preserve"> studies and are described in the most recent Office of Aboriginal and Torres Strait Islander Health Clinical Practice Guidelines. During the update process, the need for better evidence on the impact of </w:t>
      </w:r>
      <w:proofErr w:type="spellStart"/>
      <w:r>
        <w:t>betadine</w:t>
      </w:r>
      <w:proofErr w:type="spellEnd"/>
      <w:r>
        <w:t xml:space="preserve"> ear washes and oral </w:t>
      </w:r>
      <w:proofErr w:type="spellStart"/>
      <w:r>
        <w:t>cotrimoxazole</w:t>
      </w:r>
      <w:proofErr w:type="spellEnd"/>
      <w:r>
        <w:t xml:space="preserve"> were identified as research priorities.  In this proposed randomised controlled trial, effectiveness of treatment will be determined by detailed clinical and laboratory examination. </w:t>
      </w:r>
    </w:p>
    <w:p w:rsidR="00BA6265" w:rsidRDefault="00BA6265" w:rsidP="00660039"/>
    <w:p w:rsidR="007349C9" w:rsidRDefault="00BA6265" w:rsidP="00660039">
      <w:r>
        <w:t xml:space="preserve">The study meets the goals of the ‘Close the Gap’ initiative in Indigenous health that identifies hearing health in the </w:t>
      </w:r>
      <w:smartTag w:uri="urn:schemas-microsoft-com:office:smarttags" w:element="place">
        <w:smartTag w:uri="urn:schemas-microsoft-com:office:smarttags" w:element="State">
          <w:r>
            <w:t>Northern Territory</w:t>
          </w:r>
        </w:smartTag>
      </w:smartTag>
      <w:r>
        <w:t xml:space="preserve"> as a priority.  Better evidence on the effectiveness of treatments for chronic </w:t>
      </w:r>
      <w:proofErr w:type="spellStart"/>
      <w:r>
        <w:t>suppurative</w:t>
      </w:r>
      <w:proofErr w:type="spellEnd"/>
      <w:r>
        <w:t xml:space="preserve"> otitis media is urgently needed.  This proposed study would represent an important addition to the literature on medical management for this condition.</w:t>
      </w:r>
    </w:p>
    <w:p w:rsidR="007349C9" w:rsidRDefault="007349C9">
      <w:pPr>
        <w:jc w:val="left"/>
      </w:pPr>
      <w:r>
        <w:br w:type="page"/>
      </w:r>
    </w:p>
    <w:p w:rsidR="00BA6265" w:rsidRDefault="00BA6265" w:rsidP="001D38A4">
      <w:pPr>
        <w:pStyle w:val="Heading5"/>
        <w:ind w:left="1418" w:hanging="1418"/>
      </w:pPr>
      <w:r w:rsidRPr="00F0699A">
        <w:lastRenderedPageBreak/>
        <w:t>Project 2</w:t>
      </w:r>
      <w:r w:rsidR="001D38A4">
        <w:t>:</w:t>
      </w:r>
      <w:r>
        <w:tab/>
        <w:t>Text messaging to improve treatment and follow-up in chronic conditions: A Systematic Review of evidence applicable to disadvantaged populations (paper for publication).</w:t>
      </w:r>
    </w:p>
    <w:p w:rsidR="00DE2E57" w:rsidRDefault="00BA6265" w:rsidP="00660039">
      <w:pPr>
        <w:rPr>
          <w:rStyle w:val="Heading6Char"/>
        </w:rPr>
      </w:pPr>
      <w:r w:rsidRPr="001D38A4">
        <w:rPr>
          <w:rStyle w:val="Heading6Char"/>
        </w:rPr>
        <w:t xml:space="preserve">Background: </w:t>
      </w:r>
    </w:p>
    <w:p w:rsidR="00BA6265" w:rsidRDefault="00BA6265" w:rsidP="00660039">
      <w:r>
        <w:t>Aboriginal people living in remote Northern Territory communities experience extreme disadvantage. High levels of stress, household overcrowding, poor housing and a range of other factors related to poverty lead to young children within these communities experiencing a high burden of recurrent acute and chronic infection. The need to identify strategies that promote treatment adherence, within this context, is urgent.</w:t>
      </w:r>
    </w:p>
    <w:p w:rsidR="00BA6265" w:rsidRDefault="00BA6265" w:rsidP="00660039"/>
    <w:p w:rsidR="00DE2E57" w:rsidRDefault="00BA6265" w:rsidP="00660039">
      <w:pPr>
        <w:rPr>
          <w:rStyle w:val="Heading6Char"/>
        </w:rPr>
      </w:pPr>
      <w:r w:rsidRPr="001D38A4">
        <w:rPr>
          <w:rStyle w:val="Heading6Char"/>
        </w:rPr>
        <w:t xml:space="preserve">Aim: </w:t>
      </w:r>
    </w:p>
    <w:p w:rsidR="00BA6265" w:rsidRDefault="00BA6265" w:rsidP="00660039">
      <w:r>
        <w:t>This systematic literature review investigates whether regular Short Message Service or Multi-Media Messaging service, sent via mobile telephone, leads to improved treatment adherence and attendance of follow-up review among carers of children with a chronic disease.</w:t>
      </w:r>
    </w:p>
    <w:p w:rsidR="00BA6265" w:rsidRDefault="00BA6265" w:rsidP="00660039"/>
    <w:p w:rsidR="00DE2E57" w:rsidRDefault="00BA6265" w:rsidP="00660039">
      <w:pPr>
        <w:rPr>
          <w:rStyle w:val="Heading6Char"/>
        </w:rPr>
      </w:pPr>
      <w:r w:rsidRPr="001D38A4">
        <w:rPr>
          <w:rStyle w:val="Heading6Char"/>
        </w:rPr>
        <w:t xml:space="preserve">Findings: </w:t>
      </w:r>
    </w:p>
    <w:p w:rsidR="00BA6265" w:rsidRDefault="00BA6265" w:rsidP="00660039">
      <w:r>
        <w:t xml:space="preserve">Following a process developed by the National Health and Medical Research Council for Systematic Reviews, literature since 1999 was examined. Of the initial 890 titles extracted, 31 studies were considered eligible for review. Of these, 6 studies were considered in more detail. Only one eligible study included children, and none included Indigenous participants. The search identified no research concerning the use of Media Messaging Service to promote adherence to treatment. </w:t>
      </w:r>
    </w:p>
    <w:p w:rsidR="00BA6265" w:rsidRDefault="00BA6265" w:rsidP="00660039"/>
    <w:p w:rsidR="00DE2E57" w:rsidRDefault="00BA6265" w:rsidP="00660039">
      <w:pPr>
        <w:rPr>
          <w:rStyle w:val="Heading6Char"/>
        </w:rPr>
      </w:pPr>
      <w:r w:rsidRPr="001D38A4">
        <w:rPr>
          <w:rStyle w:val="Heading6Char"/>
        </w:rPr>
        <w:t xml:space="preserve">Conclusion: </w:t>
      </w:r>
    </w:p>
    <w:p w:rsidR="007349C9" w:rsidRDefault="00BA6265" w:rsidP="00660039">
      <w:r>
        <w:t xml:space="preserve">From the limited evidence available, it appears that Short Message Service messaging should be seen as only one component of a multifactorial intervention to promote adherence to treatment </w:t>
      </w:r>
      <w:proofErr w:type="spellStart"/>
      <w:r>
        <w:t>regimes</w:t>
      </w:r>
      <w:proofErr w:type="spellEnd"/>
      <w:r>
        <w:t xml:space="preserve"> and follow-up.  The existing relationship with the health service provider, as well as patient and family preferences, also require consideration. Characteristics of the actual messaging must be taken into account and should be developed in partnership with community members.</w:t>
      </w:r>
    </w:p>
    <w:p w:rsidR="007349C9" w:rsidRDefault="007349C9">
      <w:pPr>
        <w:jc w:val="left"/>
      </w:pPr>
      <w:r>
        <w:br w:type="page"/>
      </w:r>
    </w:p>
    <w:p w:rsidR="00BA6265" w:rsidRDefault="00BA6265" w:rsidP="00DE2E57">
      <w:pPr>
        <w:pStyle w:val="Heading5"/>
        <w:ind w:left="1418" w:hanging="1418"/>
      </w:pPr>
      <w:r w:rsidRPr="00DE2E57">
        <w:rPr>
          <w:rStyle w:val="Heading6Char"/>
          <w:b/>
        </w:rPr>
        <w:lastRenderedPageBreak/>
        <w:t xml:space="preserve">Project 3 </w:t>
      </w:r>
      <w:r>
        <w:tab/>
        <w:t>Can mobile phone MMS and text messages improve clinic attendance for Aboriginal children with chronic otitis media</w:t>
      </w:r>
      <w:proofErr w:type="gramStart"/>
      <w:r>
        <w:t>?:</w:t>
      </w:r>
      <w:proofErr w:type="gramEnd"/>
      <w:r>
        <w:t xml:space="preserve"> a randomised controlled trial (paper for publication).</w:t>
      </w:r>
    </w:p>
    <w:p w:rsidR="007349C9" w:rsidRPr="007349C9" w:rsidRDefault="00BA6265" w:rsidP="007349C9">
      <w:pPr>
        <w:pStyle w:val="Heading6"/>
      </w:pPr>
      <w:r w:rsidRPr="007349C9">
        <w:rPr>
          <w:rStyle w:val="Heading6Char"/>
          <w:b/>
          <w:bCs/>
        </w:rPr>
        <w:t>Background:</w:t>
      </w:r>
      <w:r w:rsidRPr="007349C9">
        <w:t xml:space="preserve"> </w:t>
      </w:r>
    </w:p>
    <w:p w:rsidR="007349C9" w:rsidRDefault="00BA6265" w:rsidP="007349C9">
      <w:pPr>
        <w:spacing w:after="120"/>
      </w:pPr>
      <w:r>
        <w:t>Otitis media is a chronic condition largely affecting children. Poor adherence to treatment often results in associated hearing loss, which has a significant effect on a child’s language, education and social outcomes.</w:t>
      </w:r>
    </w:p>
    <w:p w:rsidR="007349C9" w:rsidRPr="007349C9" w:rsidRDefault="00BA6265" w:rsidP="007349C9">
      <w:pPr>
        <w:pStyle w:val="Heading6"/>
      </w:pPr>
      <w:r w:rsidRPr="007349C9">
        <w:rPr>
          <w:rStyle w:val="Heading6Char"/>
          <w:b/>
          <w:bCs/>
        </w:rPr>
        <w:t>Aim:</w:t>
      </w:r>
      <w:r w:rsidRPr="007349C9">
        <w:t xml:space="preserve"> </w:t>
      </w:r>
    </w:p>
    <w:p w:rsidR="007349C9" w:rsidRDefault="00BA6265" w:rsidP="007349C9">
      <w:pPr>
        <w:spacing w:after="120"/>
      </w:pPr>
      <w:r>
        <w:t>This study is the first randomised trial in remote Australian Indigenous settings to evaluate the use of mobile phone multimedia and text messaging intervention for carers of children with otitis media in order to promote ear health through increased clinic attendance and adherence to treatment.</w:t>
      </w:r>
    </w:p>
    <w:p w:rsidR="007711D4" w:rsidRPr="007349C9" w:rsidRDefault="00BA6265" w:rsidP="007349C9">
      <w:pPr>
        <w:pStyle w:val="Heading6"/>
      </w:pPr>
      <w:r w:rsidRPr="007349C9">
        <w:rPr>
          <w:rStyle w:val="Heading6Char"/>
          <w:b/>
          <w:bCs/>
        </w:rPr>
        <w:t>Method:</w:t>
      </w:r>
      <w:r w:rsidRPr="007349C9">
        <w:t xml:space="preserve"> </w:t>
      </w:r>
    </w:p>
    <w:p w:rsidR="00BA6265" w:rsidRDefault="00BA6265" w:rsidP="007349C9">
      <w:pPr>
        <w:spacing w:after="120"/>
      </w:pPr>
      <w:r>
        <w:t>The study took place over a 6 week period in two remote Indigenous communities in the Northern Territory. Both communities have a medical clinic with a full time doctor as well as nurse and/or Aboriginal health worker. After randomisation, the intervention group received multimedia messages in two Indigenous languages,</w:t>
      </w:r>
      <w:r w:rsidRPr="00A0504F">
        <w:t xml:space="preserve"> </w:t>
      </w:r>
      <w:r>
        <w:t>reminding the carers about the importance of ear health. They also received short text messages, in English, recommending weekly clinic visits for ear c</w:t>
      </w:r>
      <w:r w:rsidR="007711D4">
        <w:t>heck-ups and treatment reviews.</w:t>
      </w:r>
    </w:p>
    <w:p w:rsidR="007711D4" w:rsidRPr="007349C9" w:rsidRDefault="00BA6265" w:rsidP="007349C9">
      <w:pPr>
        <w:pStyle w:val="Heading6"/>
        <w:rPr>
          <w:rStyle w:val="Heading6Char"/>
          <w:b/>
          <w:bCs/>
        </w:rPr>
      </w:pPr>
      <w:r w:rsidRPr="007349C9">
        <w:rPr>
          <w:rStyle w:val="Heading6Char"/>
          <w:b/>
          <w:bCs/>
        </w:rPr>
        <w:t xml:space="preserve">Conclusion: </w:t>
      </w:r>
    </w:p>
    <w:p w:rsidR="007349C9" w:rsidRDefault="00BA6265" w:rsidP="007711D4">
      <w:pPr>
        <w:spacing w:after="120"/>
      </w:pPr>
      <w:r>
        <w:t>There was no significant improvement in clinic attendance or ear health outcomes between those receiving messages and those not receiving messages.  The media and text messaging were accepted by Health Workers and carers as a mode of communication.  This study has demonstrated the potential of this medium as a tool in the management of chronic disease in remote and disadvantaged populations.</w:t>
      </w:r>
    </w:p>
    <w:p w:rsidR="007349C9" w:rsidRDefault="007349C9">
      <w:pPr>
        <w:jc w:val="left"/>
      </w:pPr>
      <w:r>
        <w:br w:type="page"/>
      </w:r>
    </w:p>
    <w:p w:rsidR="00BA6265" w:rsidRPr="007349C9" w:rsidRDefault="00BA6265" w:rsidP="007349C9">
      <w:pPr>
        <w:pStyle w:val="Heading5"/>
        <w:ind w:left="1418" w:hanging="1418"/>
      </w:pPr>
      <w:r w:rsidRPr="007349C9">
        <w:lastRenderedPageBreak/>
        <w:t>Project 4</w:t>
      </w:r>
      <w:r w:rsidRPr="007349C9">
        <w:tab/>
        <w:t>Prevalence data of children with otitis media living in regional and remote Northern Territory (surveillance data)</w:t>
      </w:r>
    </w:p>
    <w:p w:rsidR="007711D4" w:rsidRPr="007349C9" w:rsidRDefault="00BA6265" w:rsidP="007349C9">
      <w:pPr>
        <w:pStyle w:val="Heading6"/>
        <w:rPr>
          <w:rStyle w:val="Heading6Char"/>
          <w:b/>
          <w:bCs/>
        </w:rPr>
      </w:pPr>
      <w:r w:rsidRPr="007349C9">
        <w:rPr>
          <w:rStyle w:val="Heading6Char"/>
          <w:b/>
          <w:bCs/>
        </w:rPr>
        <w:t xml:space="preserve">Background: </w:t>
      </w:r>
    </w:p>
    <w:p w:rsidR="00BA6265" w:rsidRDefault="00BA6265" w:rsidP="00C047A8">
      <w:r>
        <w:t xml:space="preserve">The most recent report of extremely high rates of otitis media (90%) and tympanic membrane perforation (24%) in Aboriginal children in the Northern Territory was published in 2006. These data were collected in 2001 by the trained research nurses from the Menzies School of Health Research using accepted definitions and recommended diagnostic tests (pneumatic </w:t>
      </w:r>
      <w:proofErr w:type="spellStart"/>
      <w:r>
        <w:t>otoscopy</w:t>
      </w:r>
      <w:proofErr w:type="spellEnd"/>
      <w:r>
        <w:t>, ty</w:t>
      </w:r>
      <w:r w:rsidR="007711D4">
        <w:t>mpanometry and video-</w:t>
      </w:r>
      <w:proofErr w:type="spellStart"/>
      <w:r w:rsidR="007711D4">
        <w:t>otoscopy</w:t>
      </w:r>
      <w:proofErr w:type="spellEnd"/>
      <w:r w:rsidR="007711D4">
        <w:t>).</w:t>
      </w:r>
    </w:p>
    <w:p w:rsidR="00BA6265" w:rsidRDefault="00BA6265" w:rsidP="007349C9">
      <w:pPr>
        <w:spacing w:after="120"/>
      </w:pPr>
      <w:r>
        <w:t xml:space="preserve">In 2008, the Commonwealth’s </w:t>
      </w:r>
      <w:r w:rsidRPr="005522D4">
        <w:t>Emergency Response Child Health Check Initiative reported a</w:t>
      </w:r>
      <w:r>
        <w:t xml:space="preserve"> lower rate of otitis media in children (30%, n=3463) aged 0-5 years.  These data were collected by general practitioners employed on short term contracts. The definitions used for each of the diagnostic categories were not clear.  Most assessments were by simple </w:t>
      </w:r>
      <w:proofErr w:type="spellStart"/>
      <w:r>
        <w:t>otoscopy</w:t>
      </w:r>
      <w:proofErr w:type="spellEnd"/>
      <w:r>
        <w:t>.  The use of more objective diagn</w:t>
      </w:r>
      <w:r w:rsidR="007711D4">
        <w:t>ostic tests was not recorded.</w:t>
      </w:r>
    </w:p>
    <w:p w:rsidR="007711D4" w:rsidRPr="007349C9" w:rsidRDefault="007711D4" w:rsidP="007349C9">
      <w:pPr>
        <w:pStyle w:val="Heading6"/>
        <w:rPr>
          <w:rStyle w:val="Heading6Char"/>
          <w:b/>
          <w:bCs/>
        </w:rPr>
      </w:pPr>
      <w:r w:rsidRPr="007349C9">
        <w:rPr>
          <w:rStyle w:val="Heading6Char"/>
          <w:b/>
          <w:bCs/>
        </w:rPr>
        <w:t>Aim:</w:t>
      </w:r>
    </w:p>
    <w:p w:rsidR="008041C8" w:rsidRDefault="00BA6265" w:rsidP="008041C8">
      <w:pPr>
        <w:spacing w:after="120"/>
      </w:pPr>
      <w:proofErr w:type="gramStart"/>
      <w:r>
        <w:t>To update the most recent prevalence data for otitis media in children living in remote Aboriginal communities.</w:t>
      </w:r>
      <w:proofErr w:type="gramEnd"/>
    </w:p>
    <w:p w:rsidR="007711D4" w:rsidRPr="007349C9" w:rsidRDefault="007711D4" w:rsidP="007349C9">
      <w:pPr>
        <w:pStyle w:val="Heading6"/>
        <w:rPr>
          <w:rStyle w:val="Heading6Char"/>
          <w:b/>
          <w:bCs/>
        </w:rPr>
      </w:pPr>
      <w:r w:rsidRPr="007349C9">
        <w:rPr>
          <w:rStyle w:val="Heading6Char"/>
          <w:b/>
          <w:bCs/>
        </w:rPr>
        <w:t>Findings:</w:t>
      </w:r>
    </w:p>
    <w:p w:rsidR="007349C9" w:rsidRDefault="00BA6265" w:rsidP="007349C9">
      <w:pPr>
        <w:spacing w:after="120"/>
      </w:pPr>
      <w:proofErr w:type="gramStart"/>
      <w:r>
        <w:t>Between 2008-2010,</w:t>
      </w:r>
      <w:proofErr w:type="gramEnd"/>
      <w:r>
        <w:t xml:space="preserve"> </w:t>
      </w:r>
      <w:r w:rsidRPr="00AD58FC">
        <w:t xml:space="preserve">the Menzies School of Health </w:t>
      </w:r>
      <w:r>
        <w:t xml:space="preserve">Research </w:t>
      </w:r>
      <w:r w:rsidRPr="00AD58FC">
        <w:t>monitored otitis</w:t>
      </w:r>
      <w:r>
        <w:t xml:space="preserve"> media in children 0-5 years. Following the introduction of conjugate pneumococcal vaccination, surveys of 29 communities found similar rates of otitis media (90%) to that of the 2001 findings. The data were very similar for children aged 0-30 months and 0-5 years.  In some communities, tympanic membrane perforation rates were more than 30%. Over the three year period there was no significant change in rates for all types of otitis media.  The rate of CSOM was documented to be less in 2010 although this change was not statistically significant.  Further surveillance with larger numbers of children will be required to clarify this issue.</w:t>
      </w:r>
    </w:p>
    <w:p w:rsidR="007711D4" w:rsidRPr="007349C9" w:rsidRDefault="007711D4" w:rsidP="007349C9">
      <w:pPr>
        <w:pStyle w:val="Heading6"/>
        <w:rPr>
          <w:rStyle w:val="Heading6Char"/>
          <w:b/>
          <w:bCs/>
        </w:rPr>
      </w:pPr>
      <w:r w:rsidRPr="007349C9">
        <w:rPr>
          <w:rStyle w:val="Heading6Char"/>
          <w:b/>
          <w:bCs/>
        </w:rPr>
        <w:t>Conclusion:</w:t>
      </w:r>
    </w:p>
    <w:p w:rsidR="00BA6265" w:rsidRPr="008A33A6" w:rsidRDefault="00BA6265" w:rsidP="00C047A8">
      <w:r>
        <w:t xml:space="preserve">Otitis media remains a significant health problem in children aged 0-5 years of age in the remote Northern Territory.  While the overall rate of otitis media is not decreasing, there is possibly a modest decrease in CSOM over time.  Further surveillance with larger numbers of children will be required to confirm this.  The difference in the overall prevalence of otitis media between previous research studies and the </w:t>
      </w:r>
      <w:r w:rsidRPr="005522D4">
        <w:t>Emergency Response Child Health Check Initiative</w:t>
      </w:r>
      <w:r>
        <w:t xml:space="preserve"> is likely to reflect different assessment methods and inclusion of children from outside remote Aboriginal communities in the Child Health Check Initiative.</w:t>
      </w:r>
    </w:p>
    <w:p w:rsidR="00BA6265" w:rsidRPr="001D38A4" w:rsidRDefault="00BA6265" w:rsidP="007711D4">
      <w:pPr>
        <w:pStyle w:val="Heading3"/>
        <w:jc w:val="left"/>
      </w:pPr>
      <w:r w:rsidRPr="001D38A4">
        <w:t>Summary</w:t>
      </w:r>
    </w:p>
    <w:p w:rsidR="00BA6265" w:rsidRDefault="00BA6265" w:rsidP="007711D4">
      <w:r>
        <w:t xml:space="preserve">The four projects have been conducted by the Menzies School of Health Research Ear Health Team as part of their broader research program. The focus on chronic </w:t>
      </w:r>
      <w:proofErr w:type="spellStart"/>
      <w:r>
        <w:t>suppurative</w:t>
      </w:r>
      <w:proofErr w:type="spellEnd"/>
      <w:r>
        <w:t xml:space="preserve"> otitis media (CSOM) is appropriate. CSOM remains the most disabling form of otitis media and it continues to present a major challenge to Australian Aboriginal families and their health care providers. Unfortunately, there is a lack of high quality research addressing this condition. Project 1 has resulted in a </w:t>
      </w:r>
      <w:r w:rsidR="00CB0244">
        <w:t>NHMRC funding</w:t>
      </w:r>
      <w:r>
        <w:t xml:space="preserve"> submission for the largest randomised trial of treatment for CSOM in Aboriginal children. The treatments to be tested are both identified as research priorities by the experts contributing to the Technical Advisory Group of the updated Clinical Care Guidelines. The development of the funding application is a critical first step in linking high quality research studies to better clinical practice in remote Aboriginal communities.</w:t>
      </w:r>
    </w:p>
    <w:p w:rsidR="00BA6265" w:rsidRDefault="00BA6265" w:rsidP="007711D4"/>
    <w:p w:rsidR="00BA6265" w:rsidRDefault="00BA6265" w:rsidP="007711D4">
      <w:r>
        <w:lastRenderedPageBreak/>
        <w:t xml:space="preserve">Projects 2 and 3 have addressed the potential role of mobile phones in improving health outcomes for Aboriginal children with CSOM. The systematic review identified a small number of </w:t>
      </w:r>
      <w:r w:rsidRPr="00EA7750">
        <w:t>trials</w:t>
      </w:r>
      <w:r>
        <w:t xml:space="preserve"> that were conducted in different populations and addressed different conditions. While the results were encouraging, further high quality research will be needed. Project 3 describes the first randomised controlled trial involving Australian Aboriginal families. The study demonstrated that text and MMS messages are acceptable to Aboriginal families from 2 remote Aboriginal communities.  However, use of these messages did not substantially improve clinical practice.</w:t>
      </w:r>
    </w:p>
    <w:p w:rsidR="00BA6265" w:rsidRDefault="00BA6265" w:rsidP="007711D4"/>
    <w:p w:rsidR="00BA6265" w:rsidRDefault="00BA6265" w:rsidP="007711D4">
      <w:r>
        <w:t xml:space="preserve">Project 4 has provided the latest data on the burden of CSOM in a range of Aboriginal communities in the Northern Territory. Unfortunately, the very high </w:t>
      </w:r>
      <w:proofErr w:type="gramStart"/>
      <w:r>
        <w:t>rates of all forms of otitis media persists</w:t>
      </w:r>
      <w:proofErr w:type="gramEnd"/>
      <w:r>
        <w:t>.  The good news is that the data are consistent with a reduction in the overall rates of CSOM in young children. This information, along with</w:t>
      </w:r>
      <w:r w:rsidRPr="00EA7750">
        <w:t xml:space="preserve"> </w:t>
      </w:r>
      <w:r>
        <w:t xml:space="preserve">current evidence-based treatment recommendations and training, is disseminated to remote community staff by the Menzies Ear Health team and the visiting Northern Territory Government Tele-Otology Outreach Team. Project 4 also highlights the importance of diagnostic accuracy in studies reporting the prevalence of all forms of otitis media. Large differences in estimates of burden of disease are possible if different methods </w:t>
      </w:r>
      <w:proofErr w:type="gramStart"/>
      <w:r>
        <w:t>of  diagnosis</w:t>
      </w:r>
      <w:proofErr w:type="gramEnd"/>
      <w:r>
        <w:t xml:space="preserve"> are used.  For high risk Aboriginal children, there is a need for a consistent diagnostic approach that utilises appropriate technology (tympanometry and video </w:t>
      </w:r>
      <w:proofErr w:type="spellStart"/>
      <w:r>
        <w:t>otoscopy</w:t>
      </w:r>
      <w:proofErr w:type="spellEnd"/>
      <w:r>
        <w:t>) in order to ensure estimates of burden of disease are not</w:t>
      </w:r>
      <w:r>
        <w:rPr>
          <w:b/>
          <w:u w:val="single"/>
        </w:rPr>
        <w:t xml:space="preserve"> </w:t>
      </w:r>
      <w:r>
        <w:t xml:space="preserve">misleading. </w:t>
      </w:r>
    </w:p>
    <w:p w:rsidR="00BA6265" w:rsidRDefault="00BA6265" w:rsidP="007711D4"/>
    <w:p w:rsidR="00BA6265" w:rsidRDefault="00BA6265" w:rsidP="007711D4">
      <w:r>
        <w:t xml:space="preserve">CSOM in remote Aboriginal communities is essentially a disease of poverty. While improvements in the social determinants of health are likely to be beneficial, better primary health care is needed to minimise the impact of this disease on children who have already been affected. These projects have contributed important new information about the current burden of disease and identified some important opportunities for better health in the future. </w:t>
      </w:r>
    </w:p>
    <w:p w:rsidR="00BA6265" w:rsidRDefault="00BA6265">
      <w:r>
        <w:br w:type="page"/>
      </w:r>
    </w:p>
    <w:p w:rsidR="00BA6265" w:rsidRDefault="00BA6265" w:rsidP="007711D4">
      <w:pPr>
        <w:pStyle w:val="Heading3"/>
      </w:pPr>
      <w:r>
        <w:lastRenderedPageBreak/>
        <w:t>FINAL REPORT</w:t>
      </w:r>
    </w:p>
    <w:p w:rsidR="00BA6265" w:rsidRDefault="00BA6265" w:rsidP="00660039">
      <w:pPr>
        <w:rPr>
          <w:b/>
        </w:rPr>
      </w:pPr>
    </w:p>
    <w:p w:rsidR="008041C8" w:rsidRDefault="00BA6265" w:rsidP="007711D4">
      <w:pPr>
        <w:pStyle w:val="Heading2"/>
        <w:spacing w:after="360"/>
      </w:pPr>
      <w:r>
        <w:t>Evaluation of a Comprehensive Case Management Support Program for the Prevention of Hearing Loss Associated with Otitis Media with Perforation in Indigenous Children</w:t>
      </w:r>
    </w:p>
    <w:p w:rsidR="00BA6265" w:rsidRDefault="00BA6265" w:rsidP="007711D4">
      <w:pPr>
        <w:pStyle w:val="Heading3"/>
        <w:jc w:val="left"/>
      </w:pPr>
      <w:r>
        <w:t>INTRODUCTION</w:t>
      </w:r>
    </w:p>
    <w:p w:rsidR="00BA6265" w:rsidRDefault="001D7A9E" w:rsidP="001D7A9E">
      <w:r>
        <w:t>A</w:t>
      </w:r>
      <w:r w:rsidR="00BA6265">
        <w:t>boriginal children in the Northern Territory have the highest reported rates of acute and chronic ear infections in the world, with severe otitis media being one of the most important health problems.</w:t>
      </w:r>
      <w:r w:rsidR="00BA6265" w:rsidRPr="003F6F6B">
        <w:rPr>
          <w:vertAlign w:val="superscript"/>
        </w:rPr>
        <w:t>1-</w:t>
      </w:r>
      <w:proofErr w:type="gramStart"/>
      <w:r w:rsidR="00BA6265" w:rsidRPr="003F6F6B">
        <w:rPr>
          <w:vertAlign w:val="superscript"/>
        </w:rPr>
        <w:t>4</w:t>
      </w:r>
      <w:r w:rsidR="00BA6265">
        <w:t xml:space="preserve">  Subsequently</w:t>
      </w:r>
      <w:proofErr w:type="gramEnd"/>
      <w:r w:rsidR="00BA6265">
        <w:t>, 50-80% of Aboriginal children living in the remote Northern Territory are likely to have significant hearing loss;</w:t>
      </w:r>
      <w:r w:rsidR="00BA6265" w:rsidRPr="003F6F6B">
        <w:rPr>
          <w:vertAlign w:val="superscript"/>
        </w:rPr>
        <w:t>5-6</w:t>
      </w:r>
      <w:r w:rsidR="00BA6265">
        <w:t xml:space="preserve"> a condition which leads to learning difficulty and social problems in an already disadvantaged population. Chronic </w:t>
      </w:r>
      <w:proofErr w:type="spellStart"/>
      <w:r w:rsidR="00BA6265">
        <w:t>suppurative</w:t>
      </w:r>
      <w:proofErr w:type="spellEnd"/>
      <w:r w:rsidR="00BA6265">
        <w:t xml:space="preserve"> otitis media (CSOM) is present when the middle ear infection causes pus to drain from the ear for periods greater than 6 weeks (and often years).  This severe infection causes progressive (and often permanent damage) to the tympanic membrane.  It also has the greatest impact on </w:t>
      </w:r>
      <w:proofErr w:type="gramStart"/>
      <w:r w:rsidR="00BA6265">
        <w:t>hearing.</w:t>
      </w:r>
      <w:r w:rsidR="00BA6265" w:rsidRPr="003F6F6B">
        <w:rPr>
          <w:vertAlign w:val="superscript"/>
        </w:rPr>
        <w:t>6</w:t>
      </w:r>
      <w:r w:rsidR="00BA6265">
        <w:t xml:space="preserve">  For</w:t>
      </w:r>
      <w:proofErr w:type="gramEnd"/>
      <w:r w:rsidR="00BA6265">
        <w:t xml:space="preserve"> Aboriginal children in the NT, the early stage of onset (and the persistent nature of this infection) means that early intervention, ongoing effective medical management, and monitoring of the disease are critically important.</w:t>
      </w:r>
      <w:r w:rsidR="00BA6265" w:rsidRPr="003F6F6B">
        <w:rPr>
          <w:vertAlign w:val="superscript"/>
        </w:rPr>
        <w:t>7</w:t>
      </w:r>
      <w:r w:rsidR="008041C8">
        <w:t xml:space="preserve"> </w:t>
      </w:r>
    </w:p>
    <w:p w:rsidR="00501410" w:rsidRDefault="00501410" w:rsidP="007711D4"/>
    <w:p w:rsidR="00BA6265" w:rsidRDefault="00BA6265" w:rsidP="007711D4">
      <w:r w:rsidRPr="00B96EAD">
        <w:t xml:space="preserve">Chronic </w:t>
      </w:r>
      <w:proofErr w:type="spellStart"/>
      <w:r w:rsidRPr="00B96EAD">
        <w:t>suppurative</w:t>
      </w:r>
      <w:proofErr w:type="spellEnd"/>
      <w:r w:rsidRPr="00B96EAD">
        <w:t xml:space="preserve"> otitis media (CSOM) is the most disabling ear disease affecting Aboriginal Australians.</w:t>
      </w:r>
      <w:r w:rsidR="009B5648" w:rsidRPr="00B96EAD">
        <w:fldChar w:fldCharType="begin"/>
      </w:r>
      <w:r w:rsidRPr="00B96EAD">
        <w:instrText xml:space="preserve"> ADDIN REFMGR.CITE &lt;Refman&gt;&lt;Cite&gt;&lt;Author&gt;Morris&lt;/Author&gt;&lt;Year&gt;1998&lt;/Year&gt;&lt;RecNum&gt;14&lt;/RecNum&gt;&lt;IDText&gt;Management of otitis media in a high risk population.&lt;/IDText&gt;&lt;MDL Ref_Type="Journal"&gt;&lt;Ref_Type&gt;Journal&lt;/Ref_Type&gt;&lt;Ref_ID&gt;14&lt;/Ref_ID&gt;&lt;Title_Primary&gt;Management of otitis media in a high risk population.&lt;/Title_Primary&gt;&lt;Authors_Primary&gt;Morris,P.S.&lt;/Authors_Primary&gt;&lt;Date_Primary&gt;1998&lt;/Date_Primary&gt;&lt;Keywords&gt;otitis media&lt;/Keywords&gt;&lt;Keywords&gt;Aborigines&lt;/Keywords&gt;&lt;Reprint&gt;In File&lt;/Reprint&gt;&lt;Start_Page&gt;1021&lt;/Start_Page&gt;&lt;End_Page&gt;1029&lt;/End_Page&gt;&lt;Periodical&gt;Australian Family Physician&lt;/Periodical&gt;&lt;Volume&gt;27&lt;/Volume&gt;&lt;ZZ_JournalFull&gt;&lt;f name="System"&gt;Australian Family Physician&lt;/f&gt;&lt;/ZZ_JournalFull&gt;&lt;ZZ_WorkformID&gt;1&lt;/ZZ_WorkformID&gt;&lt;/MDL&gt;&lt;/Cite&gt;&lt;/Refman&gt;</w:instrText>
      </w:r>
      <w:r w:rsidR="009B5648" w:rsidRPr="00B96EAD">
        <w:fldChar w:fldCharType="separate"/>
      </w:r>
      <w:r w:rsidRPr="00B96EAD">
        <w:rPr>
          <w:vertAlign w:val="superscript"/>
        </w:rPr>
        <w:t>8</w:t>
      </w:r>
      <w:r w:rsidR="009B5648" w:rsidRPr="00B96EAD">
        <w:fldChar w:fldCharType="end"/>
      </w:r>
      <w:r w:rsidRPr="00B96EAD">
        <w:t xml:space="preserve"> Children with pus draining from their ears are common in rural and remote communities. The early age of onset, the severity of the hearing loss, and the persistence of this infection, mean that improving medical management for this condition is a priority. Once CSOM has become established, it is extremely difficult to treat.  While topical antibiotics have been shown to be more effective than oral antibiotics and topical antiseptics, it is unclear whether there are any benefits of combining these treatments.</w:t>
      </w:r>
      <w:r w:rsidR="009B5648" w:rsidRPr="00B96EAD">
        <w:fldChar w:fldCharType="begin"/>
      </w:r>
      <w:r w:rsidRPr="00B96EAD">
        <w:instrText xml:space="preserve"> ADDIN REFMGR.CITE &lt;Refman&gt;&lt;Cite&gt;&lt;Author&gt;Macfadyen&lt;/Author&gt;&lt;Year&gt;2006&lt;/Year&gt;&lt;RecNum&gt;3336&lt;/RecNum&gt;&lt;IDText&gt;Systemic antibiotics versus topical treatments for chronically discharging ears with underlying eardrum perforations&lt;/IDText&gt;&lt;MDL Ref_Type="Journal"&gt;&lt;Ref_Type&gt;Journal&lt;/Ref_Type&gt;&lt;Ref_ID&gt;3336&lt;/Ref_ID&gt;&lt;Title_Primary&gt;Systemic antibiotics versus topical treatments for chronically discharging ears with underlying eardrum perforations&lt;/Title_Primary&gt;&lt;Authors_Primary&gt;Macfadyen,C.A.&lt;/Authors_Primary&gt;&lt;Authors_Primary&gt;Acuin,J.M.&lt;/Authors_Primary&gt;&lt;Authors_Primary&gt;Gamble,C.&lt;/Authors_Primary&gt;&lt;Date_Primary&gt;2006&lt;/Date_Primary&gt;&lt;Keywords&gt;administration &amp;amp; dosage&lt;/Keywords&gt;&lt;Keywords&gt;Administration,Oral&lt;/Keywords&gt;&lt;Keywords&gt;Administration,Topical&lt;/Keywords&gt;&lt;Keywords&gt;analysis&lt;/Keywords&gt;&lt;Keywords&gt;Anti-Bacterial Agents&lt;/Keywords&gt;&lt;Keywords&gt;antibiotic&lt;/Keywords&gt;&lt;Keywords&gt;antibiotics&lt;/Keywords&gt;&lt;Keywords&gt;Chloramphenicol&lt;/Keywords&gt;&lt;Keywords&gt;Chronic Disease&lt;/Keywords&gt;&lt;Keywords&gt;Cochrane&lt;/Keywords&gt;&lt;Keywords&gt;complications&lt;/Keywords&gt;&lt;Keywords&gt;controlled trial&lt;/Keywords&gt;&lt;Keywords&gt;controlled trials&lt;/Keywords&gt;&lt;Keywords&gt;Data Collection&lt;/Keywords&gt;&lt;Keywords&gt;Disease&lt;/Keywords&gt;&lt;Keywords&gt;drug therapy&lt;/Keywords&gt;&lt;Keywords&gt;Ear&lt;/Keywords&gt;&lt;Keywords&gt;Hair&lt;/Keywords&gt;&lt;Keywords&gt;Health&lt;/Keywords&gt;&lt;Keywords&gt;Hearing&lt;/Keywords&gt;&lt;Keywords&gt;Humans&lt;/Keywords&gt;&lt;Keywords&gt;Infection&lt;/Keywords&gt;&lt;Keywords&gt;Mastoid&lt;/Keywords&gt;&lt;Keywords&gt;Medicine&lt;/Keywords&gt;&lt;Keywords&gt;medline&lt;/Keywords&gt;&lt;Keywords&gt;Meta Analysis&lt;/Keywords&gt;&lt;Keywords&gt;meta-analysis&lt;/Keywords&gt;&lt;Keywords&gt;metaanalysis&lt;/Keywords&gt;&lt;Keywords&gt;otitis&lt;/Keywords&gt;&lt;Keywords&gt;otitis media&lt;/Keywords&gt;&lt;Keywords&gt;Otitis Media,Suppurative&lt;/Keywords&gt;&lt;Keywords&gt;Quinolones&lt;/Keywords&gt;&lt;Keywords&gt;randomised controlled trial&lt;/Keywords&gt;&lt;Keywords&gt;randomised controlled trials&lt;/Keywords&gt;&lt;Keywords&gt;Randomized Controlled Trials as Topic&lt;/Keywords&gt;&lt;Keywords&gt;relative risk&lt;/Keywords&gt;&lt;Keywords&gt;relative risks&lt;/Keywords&gt;&lt;Keywords&gt;Research&lt;/Keywords&gt;&lt;Keywords&gt;Risk&lt;/Keywords&gt;&lt;Keywords&gt;Safety&lt;/Keywords&gt;&lt;Keywords&gt;Steroids&lt;/Keywords&gt;&lt;Keywords&gt;Tropical Medicine&lt;/Keywords&gt;&lt;Keywords&gt;Tympanic Membrane Perforation&lt;/Keywords&gt;&lt;Reprint&gt;Not in File&lt;/Reprint&gt;&lt;Start_Page&gt;CD005608&lt;/Start_Page&gt;&lt;Periodical&gt;Cochrane.Database.Syst.Rev.&lt;/Periodical&gt;&lt;Issue&gt;1&lt;/Issue&gt;&lt;Address&gt;Liverpool School of Tropical Medicine, International Health Research Group, Pembroke Place, Liverpool, UK, L3 5QA. carolynm@liv.ac.uk&lt;/Address&gt;&lt;Web_URL&gt;PM:16437533&lt;/Web_URL&gt;&lt;ZZ_JournalStdAbbrev&gt;&lt;f name="System"&gt;Cochrane.Database.Syst.Rev.&lt;/f&gt;&lt;/ZZ_JournalStdAbbrev&gt;&lt;ZZ_WorkformID&gt;1&lt;/ZZ_WorkformID&gt;&lt;/MDL&gt;&lt;/Cite&gt;&lt;Cite&gt;&lt;Author&gt;Morris&lt;/Author&gt;&lt;Year&gt;2012&lt;/Year&gt;&lt;RecNum&gt;3836&lt;/RecNum&gt;&lt;IDText&gt;Chronic Suppurative Otitis Media&lt;/IDText&gt;&lt;MDL Ref_Type="Journal"&gt;&lt;Ref_Type&gt;Journal&lt;/Ref_Type&gt;&lt;Ref_ID&gt;3836&lt;/Ref_ID&gt;&lt;Title_Primary&gt;Chronic Suppurative Otitis Media&lt;/Title_Primary&gt;&lt;Authors_Primary&gt;Morris,P.&lt;/Authors_Primary&gt;&lt;Date_Primary&gt;2012&lt;/Date_Primary&gt;&lt;Keywords&gt;otitis&lt;/Keywords&gt;&lt;Keywords&gt;otitis media&lt;/Keywords&gt;&lt;Reprint&gt;Not in File&lt;/Reprint&gt;&lt;Periodical&gt;Clinical Evidence [Online] URL- http//www.clinicalevidence.com/&lt;/Periodical&gt;&lt;Pub_Place&gt;London, UK&lt;/Pub_Place&gt;&lt;Publisher&gt;BMJ Publishing&lt;/Publisher&gt;&lt;Web_URL&gt;http//www.clinicalevidence.com/&lt;/Web_URL&gt;&lt;ZZ_JournalStdAbbrev&gt;&lt;f name="System"&gt;Clinical Evidence [Online] URL- http//www.clinicalevidence.com/&lt;/f&gt;&lt;/ZZ_JournalStdAbbrev&gt;&lt;ZZ_WorkformID&gt;1&lt;/ZZ_WorkformID&gt;&lt;/MDL&gt;&lt;/Cite&gt;&lt;/Refman&gt;</w:instrText>
      </w:r>
      <w:r w:rsidR="009B5648" w:rsidRPr="00B96EAD">
        <w:fldChar w:fldCharType="separate"/>
      </w:r>
      <w:r>
        <w:rPr>
          <w:vertAlign w:val="superscript"/>
        </w:rPr>
        <w:t>9,</w:t>
      </w:r>
      <w:r w:rsidRPr="00B96EAD">
        <w:rPr>
          <w:vertAlign w:val="superscript"/>
        </w:rPr>
        <w:t>10</w:t>
      </w:r>
      <w:r w:rsidR="009B5648" w:rsidRPr="00B96EAD">
        <w:fldChar w:fldCharType="end"/>
      </w:r>
      <w:r w:rsidRPr="00B96EAD">
        <w:t xml:space="preserve">  Other treatment options, such as prolonged antibiotic intravenous treatment in hospital</w:t>
      </w:r>
      <w:r w:rsidR="009B5648" w:rsidRPr="00B96EAD">
        <w:fldChar w:fldCharType="begin"/>
      </w:r>
      <w:r w:rsidRPr="00B96EAD">
        <w:instrText xml:space="preserve"> ADDIN REFMGR.CITE &lt;Refman&gt;&lt;Cite&gt;&lt;Author&gt;Fliss&lt;/Author&gt;&lt;Year&gt;1990&lt;/Year&gt;&lt;RecNum&gt;945&lt;/RecNum&gt;&lt;IDText&gt;Medical management of chronic suppurative otitis media without cholesteatoma in children [see comments]&lt;/IDText&gt;&lt;MDL Ref_Type="Journal"&gt;&lt;Ref_Type&gt;Journal&lt;/Ref_Type&gt;&lt;Ref_ID&gt;945&lt;/Ref_ID&gt;&lt;Title_Primary&gt;Medical management of chronic suppurative otitis media without cholesteatoma in children [see comments]&lt;/Title_Primary&gt;&lt;Authors_Primary&gt;Fliss,D.M.&lt;/Authors_Primary&gt;&lt;Authors_Primary&gt;Dagan,R.&lt;/Authors_Primary&gt;&lt;Authors_Primary&gt;Houri,Z.&lt;/Authors_Primary&gt;&lt;Authors_Primary&gt;Leiberman,A.&lt;/Authors_Primary&gt;&lt;Date_Primary&gt;1990/6&lt;/Date_Primary&gt;&lt;Keywords&gt;Adolescence&lt;/Keywords&gt;&lt;Keywords&gt;Amoxicillin therapeutic use&lt;/Keywords&gt;&lt;Keywords&gt;Ceftazidime administration and dosage&lt;/Keywords&gt;&lt;Keywords&gt;Ceftazidime therapeutic use&lt;/Keywords&gt;&lt;Keywords&gt;Child&lt;/Keywords&gt;&lt;Keywords&gt;Child,Preschool&lt;/Keywords&gt;&lt;Keywords&gt;Cholesteatoma&lt;/Keywords&gt;&lt;Keywords&gt;Chronic Disease&lt;/Keywords&gt;&lt;Keywords&gt;Debridement&lt;/Keywords&gt;&lt;Keywords&gt;Ear Diseases&lt;/Keywords&gt;&lt;Keywords&gt;Infant&lt;/Keywords&gt;&lt;Keywords&gt;Injections,Intravenous&lt;/Keywords&gt;&lt;Keywords&gt;Mezlocillin administration and dosage&lt;/Keywords&gt;&lt;Keywords&gt;Mezlocillin therapeutic use&lt;/Keywords&gt;&lt;Keywords&gt;Prospective Studies&lt;/Keywords&gt;&lt;Keywords&gt;Pseudomonas Infections drug therapy&lt;/Keywords&gt;&lt;Keywords&gt;Random Allocation&lt;/Keywords&gt;&lt;Keywords&gt;Recurrence&lt;/Keywords&gt;&lt;Keywords&gt;Suction&lt;/Keywords&gt;&lt;Keywords&gt;Otitis Media drug therapy&lt;/Keywords&gt;&lt;Keywords&gt;Otitis Media,Suppurative drug therapy&lt;/Keywords&gt;&lt;Keywords&gt;Comparative Study&lt;/Keywords&gt;&lt;Keywords&gt;Female&lt;/Keywords&gt;&lt;Keywords&gt;Human&lt;/Keywords&gt;&lt;Keywords&gt;Male&lt;/Keywords&gt;&lt;Keywords&gt;otitis&lt;/Keywords&gt;&lt;Keywords&gt;otitis media&lt;/Keywords&gt;&lt;Keywords&gt;antibiotics&lt;/Keywords&gt;&lt;Keywords&gt;surgery&lt;/Keywords&gt;&lt;Keywords&gt;Patients&lt;/Keywords&gt;&lt;Keywords&gt;Disease&lt;/Keywords&gt;&lt;Keywords&gt;Culture&lt;/Keywords&gt;&lt;Keywords&gt;Pseudomonas aeruginosa&lt;/Keywords&gt;&lt;Keywords&gt;Haemophilus&lt;/Keywords&gt;&lt;Keywords&gt;Haemophilus influenzae&lt;/Keywords&gt;&lt;Keywords&gt;Amoxicillin&lt;/Keywords&gt;&lt;Keywords&gt;therapy&lt;/Keywords&gt;&lt;Keywords&gt;Drainage&lt;/Keywords&gt;&lt;Reprint&gt;In File&lt;/Reprint&gt;&lt;Start_Page&gt;991&lt;/Start_Page&gt;&lt;End_Page&gt;996&lt;/End_Page&gt;&lt;Periodical&gt;J.Pediatr&lt;/Periodical&gt;&lt;Volume&gt;116&lt;/Volume&gt;&lt;Issue&gt;6&lt;/Issue&gt;&lt;ZZ_JournalStdAbbrev&gt;&lt;f name="System"&gt;J.Pediatr&lt;/f&gt;&lt;/ZZ_JournalStdAbbrev&gt;&lt;ZZ_WorkformID&gt;1&lt;/ZZ_WorkformID&gt;&lt;/MDL&gt;&lt;/Cite&gt;&lt;Cite&gt;&lt;Author&gt;Kenna&lt;/Author&gt;&lt;Year&gt;1994&lt;/Year&gt;&lt;RecNum&gt;1568&lt;/RecNum&gt;&lt;IDText&gt;Treatment of chronic suppurative otitis media.&lt;/IDText&gt;&lt;MDL Ref_Type="Journal"&gt;&lt;Ref_Type&gt;Journal&lt;/Ref_Type&gt;&lt;Ref_ID&gt;1568&lt;/Ref_ID&gt;&lt;Title_Primary&gt;Treatment of chronic suppurative otitis media.&lt;/Title_Primary&gt;&lt;Authors_Primary&gt;Kenna,M.A.&lt;/Authors_Primary&gt;&lt;Date_Primary&gt;1994/6&lt;/Date_Primary&gt;&lt;Keywords&gt;Child&lt;/Keywords&gt;&lt;Keywords&gt;Chronic Disease&lt;/Keywords&gt;&lt;Keywords&gt;Otitis Media,Suppurative diagnosis&lt;/Keywords&gt;&lt;Keywords&gt;Otitis Media,Suppurative drug therapy&lt;/Keywords&gt;&lt;Keywords&gt;Otitis Media,Suppurative microbiology&lt;/Keywords&gt;&lt;Keywords&gt;Otitis Media,Suppurative surgery&lt;/Keywords&gt;&lt;Keywords&gt;Pseudomonas Infections&lt;/Keywords&gt;&lt;Keywords&gt;Otitis Media,Suppurative therapy&lt;/Keywords&gt;&lt;Keywords&gt;Human&lt;/Keywords&gt;&lt;Keywords&gt;otitis&lt;/Keywords&gt;&lt;Keywords&gt;otitis media&lt;/Keywords&gt;&lt;Keywords&gt;Disease&lt;/Keywords&gt;&lt;Keywords&gt;Tympanic Membrane&lt;/Keywords&gt;&lt;Keywords&gt;Tympanic Membrane Perforation&lt;/Keywords&gt;&lt;Keywords&gt;etiology&lt;/Keywords&gt;&lt;Keywords&gt;Pseudomonas aeruginosa&lt;/Keywords&gt;&lt;Reprint&gt;In File&lt;/Reprint&gt;&lt;Start_Page&gt;457&lt;/Start_Page&gt;&lt;End_Page&gt;472&lt;/End_Page&gt;&lt;Periodical&gt;Otolaryngol Clin North Am.&lt;/Periodical&gt;&lt;Volume&gt;27&lt;/Volume&gt;&lt;Issue&gt;3&lt;/Issue&gt;&lt;ZZ_JournalStdAbbrev&gt;&lt;f name="System"&gt;Otolaryngol Clin North Am.&lt;/f&gt;&lt;/ZZ_JournalStdAbbrev&gt;&lt;ZZ_WorkformID&gt;1&lt;/ZZ_WorkformID&gt;&lt;/MDL&gt;&lt;/Cite&gt;&lt;/Refman&gt;</w:instrText>
      </w:r>
      <w:r w:rsidR="009B5648" w:rsidRPr="00B96EAD">
        <w:fldChar w:fldCharType="separate"/>
      </w:r>
      <w:r>
        <w:rPr>
          <w:vertAlign w:val="superscript"/>
        </w:rPr>
        <w:t>11,</w:t>
      </w:r>
      <w:r w:rsidRPr="00B96EAD">
        <w:rPr>
          <w:vertAlign w:val="superscript"/>
        </w:rPr>
        <w:t>12</w:t>
      </w:r>
      <w:r w:rsidR="009B5648" w:rsidRPr="00B96EAD">
        <w:fldChar w:fldCharType="end"/>
      </w:r>
      <w:r w:rsidRPr="00B96EAD">
        <w:t xml:space="preserve"> or partial </w:t>
      </w:r>
      <w:proofErr w:type="spellStart"/>
      <w:r w:rsidRPr="00B96EAD">
        <w:t>mastoidectomy</w:t>
      </w:r>
      <w:proofErr w:type="spellEnd"/>
      <w:r w:rsidRPr="00B96EAD">
        <w:t xml:space="preserve"> have not been used (or accepted) in the management of children from remote Aboriginal communities.</w:t>
      </w:r>
      <w:r w:rsidR="008041C8" w:rsidRPr="00B96EAD">
        <w:t xml:space="preserve"> </w:t>
      </w:r>
    </w:p>
    <w:p w:rsidR="00501410" w:rsidRPr="00B96EAD" w:rsidRDefault="00501410" w:rsidP="007711D4"/>
    <w:p w:rsidR="00BA6265" w:rsidRDefault="00BA6265" w:rsidP="007711D4">
      <w:r>
        <w:t xml:space="preserve">Commonwealth funding was provided to the Ear Health Unit of the Child Health Division of the Menzies School of Health Research to conduct 4 projects.  All the projects are related to achieving more effective treatment, management and monitoring of chronic </w:t>
      </w:r>
      <w:proofErr w:type="spellStart"/>
      <w:r>
        <w:t>suppurative</w:t>
      </w:r>
      <w:proofErr w:type="spellEnd"/>
      <w:r>
        <w:t xml:space="preserve"> otitis media (CSOM) in Aboriginal children living in remote Northern Territory. </w:t>
      </w:r>
    </w:p>
    <w:p w:rsidR="00BA6265" w:rsidRDefault="00BA6265" w:rsidP="007711D4"/>
    <w:p w:rsidR="00BA6265" w:rsidRDefault="00BA6265" w:rsidP="007711D4">
      <w:r>
        <w:t>The projects were informed by previous studies and surveillance data collected by the Menzies School of Health Research and the development of the updated Office of Aboriginal and Torres Strait Islander Clinical Practice Guidelines on the Management of Otitis Media.</w:t>
      </w:r>
      <w:r w:rsidRPr="00E844A7">
        <w:rPr>
          <w:vertAlign w:val="superscript"/>
        </w:rPr>
        <w:t>13</w:t>
      </w:r>
      <w:r>
        <w:t xml:space="preserve">  The projects covered the design of a new randomised controlled trial testing the impact of 2 additional treatments of chronic </w:t>
      </w:r>
      <w:proofErr w:type="spellStart"/>
      <w:r>
        <w:t>suppurative</w:t>
      </w:r>
      <w:proofErr w:type="spellEnd"/>
      <w:r>
        <w:t xml:space="preserve"> otitis media, the evidence for health benefits from use of mobile phones, text messaging and SMS messaging in disadvantaged settings, the impact of text messaging and SMS messaging on the management of chronic </w:t>
      </w:r>
      <w:proofErr w:type="spellStart"/>
      <w:r>
        <w:t>suppurative</w:t>
      </w:r>
      <w:proofErr w:type="spellEnd"/>
      <w:r>
        <w:t xml:space="preserve"> otitis media in 2 remote Aboriginal communities, and updated surveillance data on all forms of otitis media in remote communities of the NT.</w:t>
      </w:r>
    </w:p>
    <w:p w:rsidR="00BA6265" w:rsidRDefault="00BA6265" w:rsidP="007711D4"/>
    <w:p w:rsidR="00BA6265" w:rsidRDefault="00BA6265" w:rsidP="007711D4">
      <w:r>
        <w:t>The projects represent an important part of the Menzies Ear Health Research Program over the past 4 years.  The projects are also likely to have major impact on future research activities through funding of intervention studies for CSOM and provision of high quality evidence on the use of text and SMS messaging in health care.  As mobile phones become an even more important part of life in remote Aboriginal communities, the significance of these projects is likely to increase.</w:t>
      </w:r>
      <w:r w:rsidR="008041C8">
        <w:t xml:space="preserve"> </w:t>
      </w:r>
    </w:p>
    <w:p w:rsidR="00BA6265" w:rsidRDefault="00BA6265" w:rsidP="007711D4">
      <w:pPr>
        <w:pStyle w:val="Heading4"/>
      </w:pPr>
      <w:r>
        <w:br w:type="page"/>
      </w:r>
      <w:r>
        <w:lastRenderedPageBreak/>
        <w:t>PROJECT REPORTS</w:t>
      </w:r>
    </w:p>
    <w:p w:rsidR="00BA6265" w:rsidRDefault="00BA6265" w:rsidP="007711D4">
      <w:pPr>
        <w:pStyle w:val="Heading5"/>
        <w:spacing w:after="240"/>
      </w:pPr>
      <w:r w:rsidRPr="00C061B0">
        <w:t>Project 1</w:t>
      </w:r>
      <w:r>
        <w:tab/>
        <w:t xml:space="preserve">IHEAR BETA Study: The </w:t>
      </w:r>
      <w:r w:rsidRPr="00B45D63">
        <w:t>I</w:t>
      </w:r>
      <w:r>
        <w:t xml:space="preserve">ndigenous </w:t>
      </w:r>
      <w:r w:rsidRPr="00B45D63">
        <w:t>H</w:t>
      </w:r>
      <w:r>
        <w:t xml:space="preserve">ealthy </w:t>
      </w:r>
      <w:r w:rsidRPr="00B45D63">
        <w:t>Ear</w:t>
      </w:r>
      <w:r>
        <w:t xml:space="preserve">s - </w:t>
      </w:r>
      <w:proofErr w:type="spellStart"/>
      <w:r w:rsidRPr="00B45D63">
        <w:t>Beta</w:t>
      </w:r>
      <w:r>
        <w:t>dine</w:t>
      </w:r>
      <w:proofErr w:type="spellEnd"/>
      <w:r>
        <w:t>, Tissues and Antibiotics study. A randomised controlled clinical trial (NHMRC proposal).</w:t>
      </w:r>
    </w:p>
    <w:p w:rsidR="00BA6265" w:rsidRPr="00CA3428" w:rsidRDefault="00BA6265" w:rsidP="007711D4">
      <w:pPr>
        <w:pStyle w:val="Heading3"/>
        <w:spacing w:after="240"/>
        <w:jc w:val="left"/>
      </w:pPr>
      <w:r w:rsidRPr="00CA3428">
        <w:t>Summary</w:t>
      </w:r>
    </w:p>
    <w:p w:rsidR="007711D4" w:rsidRPr="007711D4" w:rsidRDefault="00BA6265" w:rsidP="007711D4">
      <w:pPr>
        <w:spacing w:after="240"/>
      </w:pPr>
      <w:r w:rsidRPr="007711D4">
        <w:rPr>
          <w:rStyle w:val="Heading6Char"/>
        </w:rPr>
        <w:t>Background/Hypothesis:</w:t>
      </w:r>
      <w:r w:rsidRPr="007711D4">
        <w:t xml:space="preserve"> </w:t>
      </w:r>
    </w:p>
    <w:p w:rsidR="00BA6265" w:rsidRDefault="00BA6265" w:rsidP="007711D4">
      <w:r>
        <w:t xml:space="preserve">Otitis media remains unacceptably common, as well as severe, in Aboriginal children.  The World Health Organization recommends that rates of otitis media in excess of 4% should be regarded as a massive health problem. In some remote communities of the Northern Territory, more than 30% of children are affected. </w:t>
      </w:r>
    </w:p>
    <w:p w:rsidR="00BA6265" w:rsidRDefault="00BA6265" w:rsidP="007711D4"/>
    <w:p w:rsidR="00BA6265" w:rsidRDefault="00BA6265" w:rsidP="007711D4">
      <w:r>
        <w:t xml:space="preserve">Although there is a considerable amount of published research on the treatment of otitis media, most of the recommendations are still limited by a lack of relevant randomised controlled trial data. </w:t>
      </w:r>
    </w:p>
    <w:p w:rsidR="00BA6265" w:rsidRDefault="00BA6265" w:rsidP="00CA3428"/>
    <w:p w:rsidR="007711D4" w:rsidRDefault="00BA6265" w:rsidP="007711D4">
      <w:pPr>
        <w:spacing w:after="240"/>
      </w:pPr>
      <w:r w:rsidRPr="007711D4">
        <w:rPr>
          <w:rStyle w:val="Heading6Char"/>
        </w:rPr>
        <w:t>Aim:</w:t>
      </w:r>
      <w:r>
        <w:t xml:space="preserve"> </w:t>
      </w:r>
    </w:p>
    <w:p w:rsidR="00BA6265" w:rsidRDefault="00BA6265" w:rsidP="00CA3428">
      <w:r w:rsidRPr="007711D4">
        <w:t>The major aim of this randomised controlled trial is to explore the effectiveness of:</w:t>
      </w:r>
    </w:p>
    <w:p w:rsidR="00BA6265" w:rsidRDefault="00BA6265" w:rsidP="00CA3428"/>
    <w:p w:rsidR="00BA6265" w:rsidRDefault="00BA6265" w:rsidP="00FC18C9">
      <w:pPr>
        <w:pStyle w:val="ListParagraph"/>
        <w:numPr>
          <w:ilvl w:val="0"/>
          <w:numId w:val="16"/>
        </w:numPr>
      </w:pPr>
      <w:r>
        <w:t>Providing a new antiseptic treatment for otitis media in addition to the standard antibiotic treatment (compared to standard treatment alone).</w:t>
      </w:r>
    </w:p>
    <w:p w:rsidR="00BA6265" w:rsidRDefault="00BA6265" w:rsidP="00FC18C9">
      <w:pPr>
        <w:pStyle w:val="ListParagraph"/>
        <w:numPr>
          <w:ilvl w:val="0"/>
          <w:numId w:val="16"/>
        </w:numPr>
      </w:pPr>
      <w:r>
        <w:t>Providing a twice daily antibiotic treatment in addition to the standard antibiotic treatment (compared to placebo).</w:t>
      </w:r>
    </w:p>
    <w:p w:rsidR="00BA6265" w:rsidRDefault="00BA6265" w:rsidP="00CA3428"/>
    <w:p w:rsidR="007711D4" w:rsidRDefault="00BA6265" w:rsidP="007711D4">
      <w:pPr>
        <w:spacing w:after="240"/>
        <w:rPr>
          <w:rStyle w:val="Heading6Char"/>
        </w:rPr>
      </w:pPr>
      <w:r w:rsidRPr="007711D4">
        <w:rPr>
          <w:rStyle w:val="Heading6Char"/>
        </w:rPr>
        <w:t xml:space="preserve">Application: </w:t>
      </w:r>
    </w:p>
    <w:p w:rsidR="00BA6265" w:rsidRDefault="00BA6265" w:rsidP="007711D4">
      <w:r>
        <w:t xml:space="preserve">Current treatment options </w:t>
      </w:r>
      <w:r w:rsidR="007711D4">
        <w:t>are based on evidence from well-designed</w:t>
      </w:r>
      <w:r>
        <w:t xml:space="preserve"> studies and are described in the most recent Office of Aboriginal and Torres Strait Islander Health Clinical Practice Guidelines. During the update process, the need for better evidence on the impact of </w:t>
      </w:r>
      <w:proofErr w:type="spellStart"/>
      <w:r>
        <w:t>betadine</w:t>
      </w:r>
      <w:proofErr w:type="spellEnd"/>
      <w:r>
        <w:t xml:space="preserve"> ear washes and oral </w:t>
      </w:r>
      <w:proofErr w:type="spellStart"/>
      <w:r>
        <w:t>cotrimoxazole</w:t>
      </w:r>
      <w:proofErr w:type="spellEnd"/>
      <w:r>
        <w:t xml:space="preserve"> were identified as research priorities.  In this proposed randomised controlled trial, effectiveness of treatment will be determined by detailed clinical and laboratory examination. </w:t>
      </w:r>
    </w:p>
    <w:p w:rsidR="00BA6265" w:rsidRDefault="00BA6265" w:rsidP="007711D4"/>
    <w:p w:rsidR="00BA6265" w:rsidRDefault="00BA6265" w:rsidP="007711D4">
      <w:r>
        <w:t xml:space="preserve">The study meets the goals of the ‘Close the Gap’ initiative in Indigenous health that identifies hearing health in the Northern Territory as a priority.  Better evidence on the effectiveness of treatments for chronic </w:t>
      </w:r>
      <w:proofErr w:type="spellStart"/>
      <w:r>
        <w:t>suppurative</w:t>
      </w:r>
      <w:proofErr w:type="spellEnd"/>
      <w:r>
        <w:t xml:space="preserve"> otitis media is urgently needed.  This proposed study would represent an important addition to the literature on this issue.</w:t>
      </w:r>
    </w:p>
    <w:p w:rsidR="00BA6265" w:rsidRDefault="00BA6265" w:rsidP="007711D4"/>
    <w:p w:rsidR="00BA6265" w:rsidRDefault="00BA6265" w:rsidP="007711D4">
      <w:r>
        <w:t>The study meets the goals of the ‘Close the Gap’ initiative in Indigenous health that identifies hearing health in the Northern Territory as a priority.</w:t>
      </w:r>
      <w:r w:rsidR="008041C8">
        <w:t xml:space="preserve"> </w:t>
      </w:r>
    </w:p>
    <w:p w:rsidR="00BA6265" w:rsidRPr="00CA3428" w:rsidRDefault="00BA6265" w:rsidP="00501410">
      <w:pPr>
        <w:pStyle w:val="Heading4"/>
      </w:pPr>
      <w:r>
        <w:br w:type="page"/>
      </w:r>
      <w:r w:rsidRPr="00CA3428">
        <w:lastRenderedPageBreak/>
        <w:t>Project Grant Application</w:t>
      </w:r>
    </w:p>
    <w:p w:rsidR="00BA6265" w:rsidRPr="00B96EAD" w:rsidRDefault="00BA6265" w:rsidP="00501410">
      <w:pPr>
        <w:pStyle w:val="Heading5"/>
        <w:pBdr>
          <w:top w:val="none" w:sz="0" w:space="0" w:color="auto"/>
          <w:left w:val="none" w:sz="0" w:space="0" w:color="auto"/>
          <w:bottom w:val="none" w:sz="0" w:space="0" w:color="auto"/>
          <w:right w:val="none" w:sz="0" w:space="0" w:color="auto"/>
        </w:pBdr>
        <w:rPr>
          <w:lang w:bidi="bn-BD"/>
        </w:rPr>
      </w:pPr>
      <w:r w:rsidRPr="00B96EAD">
        <w:rPr>
          <w:lang w:bidi="bn-BD"/>
        </w:rPr>
        <w:t>AIMS</w:t>
      </w:r>
    </w:p>
    <w:p w:rsidR="00BA6265" w:rsidRPr="00B96EAD" w:rsidRDefault="00BA6265" w:rsidP="001F40CA">
      <w:pPr>
        <w:pStyle w:val="Heading6"/>
        <w:rPr>
          <w:lang w:bidi="bn-BD"/>
        </w:rPr>
      </w:pPr>
      <w:r w:rsidRPr="00B96EAD">
        <w:rPr>
          <w:lang w:bidi="bn-BD"/>
        </w:rPr>
        <w:t>The primary research questions are:</w:t>
      </w:r>
    </w:p>
    <w:p w:rsidR="00BA6265" w:rsidRDefault="00BA6265" w:rsidP="00660039">
      <w:pPr>
        <w:rPr>
          <w:lang w:bidi="bn-BD"/>
        </w:rPr>
      </w:pPr>
      <w:r w:rsidRPr="00B96EAD">
        <w:rPr>
          <w:lang w:bidi="bn-BD"/>
        </w:rPr>
        <w:t xml:space="preserve">Among Aboriginal children with chronic </w:t>
      </w:r>
      <w:proofErr w:type="spellStart"/>
      <w:r w:rsidRPr="00B96EAD">
        <w:rPr>
          <w:lang w:bidi="bn-BD"/>
        </w:rPr>
        <w:t>suppurative</w:t>
      </w:r>
      <w:proofErr w:type="spellEnd"/>
      <w:r w:rsidRPr="00B96EAD">
        <w:rPr>
          <w:lang w:bidi="bn-BD"/>
        </w:rPr>
        <w:t xml:space="preserve"> otitis media (CSOM), does either of the following strategies reduce the proportion of children with discharging perforations after 16 weeks of treatment?</w:t>
      </w:r>
    </w:p>
    <w:p w:rsidR="00BA6265" w:rsidRPr="00B96EAD" w:rsidRDefault="00BA6265" w:rsidP="00660039">
      <w:pPr>
        <w:rPr>
          <w:lang w:bidi="bn-BD"/>
        </w:rPr>
      </w:pPr>
    </w:p>
    <w:p w:rsidR="00BA6265" w:rsidRDefault="00BA6265" w:rsidP="00761B05">
      <w:pPr>
        <w:pStyle w:val="ListParagraph"/>
        <w:numPr>
          <w:ilvl w:val="0"/>
          <w:numId w:val="3"/>
        </w:numPr>
        <w:tabs>
          <w:tab w:val="left" w:pos="1134"/>
        </w:tabs>
        <w:ind w:left="1134" w:hanging="425"/>
        <w:rPr>
          <w:lang w:bidi="bn-BD"/>
        </w:rPr>
      </w:pPr>
      <w:r>
        <w:rPr>
          <w:lang w:bidi="bn-BD"/>
        </w:rPr>
        <w:t>T</w:t>
      </w:r>
      <w:r w:rsidRPr="00B96EAD">
        <w:rPr>
          <w:lang w:bidi="bn-BD"/>
        </w:rPr>
        <w:t xml:space="preserve">wice daily antiseptic ear wash (&gt;= 20mls </w:t>
      </w:r>
      <w:proofErr w:type="spellStart"/>
      <w:r w:rsidRPr="00B96EAD">
        <w:rPr>
          <w:lang w:bidi="bn-BD"/>
        </w:rPr>
        <w:t>povidine</w:t>
      </w:r>
      <w:proofErr w:type="spellEnd"/>
      <w:r w:rsidRPr="00B96EAD">
        <w:rPr>
          <w:lang w:bidi="bn-BD"/>
        </w:rPr>
        <w:t xml:space="preserve">-iodine 0.5% solution syringed into </w:t>
      </w:r>
      <w:r w:rsidRPr="00761B05">
        <w:rPr>
          <w:lang w:bidi="bn-BD"/>
        </w:rPr>
        <w:t xml:space="preserve">the ear canal) prior to standard topical antibiotic treatment (compared to standard topical antibiotic treatment alone), </w:t>
      </w:r>
    </w:p>
    <w:p w:rsidR="00BA6265" w:rsidRPr="00761B05" w:rsidRDefault="00BA6265" w:rsidP="00B23C3C">
      <w:pPr>
        <w:pStyle w:val="ListParagraph"/>
        <w:tabs>
          <w:tab w:val="left" w:pos="1134"/>
        </w:tabs>
        <w:ind w:left="1134"/>
        <w:rPr>
          <w:lang w:bidi="bn-BD"/>
        </w:rPr>
      </w:pPr>
    </w:p>
    <w:p w:rsidR="00BA6265" w:rsidRPr="00761B05" w:rsidRDefault="00BA6265" w:rsidP="00761B05">
      <w:pPr>
        <w:tabs>
          <w:tab w:val="left" w:pos="1134"/>
        </w:tabs>
        <w:spacing w:after="120"/>
        <w:ind w:left="1134" w:hanging="425"/>
        <w:rPr>
          <w:b/>
          <w:lang w:bidi="bn-BD"/>
        </w:rPr>
      </w:pPr>
      <w:r>
        <w:rPr>
          <w:lang w:bidi="bn-BD"/>
        </w:rPr>
        <w:t>(ii) T</w:t>
      </w:r>
      <w:r w:rsidRPr="00761B05">
        <w:rPr>
          <w:lang w:bidi="bn-BD"/>
        </w:rPr>
        <w:t>wice daily oral antibiotic treatment (</w:t>
      </w:r>
      <w:proofErr w:type="spellStart"/>
      <w:r w:rsidRPr="00761B05">
        <w:rPr>
          <w:lang w:bidi="bn-BD"/>
        </w:rPr>
        <w:t>cotrimoxazole</w:t>
      </w:r>
      <w:proofErr w:type="spellEnd"/>
      <w:r w:rsidRPr="00761B05">
        <w:rPr>
          <w:lang w:bidi="bn-BD"/>
        </w:rPr>
        <w:t xml:space="preserve"> 4mg/kg per dose of trimethoprim component) given in</w:t>
      </w:r>
      <w:r w:rsidRPr="00B96EAD">
        <w:rPr>
          <w:lang w:bidi="bn-BD"/>
        </w:rPr>
        <w:t xml:space="preserve"> addition to standard topical antibiotic </w:t>
      </w:r>
      <w:r>
        <w:rPr>
          <w:lang w:bidi="bn-BD"/>
        </w:rPr>
        <w:t>treatment (compared to placebo).</w:t>
      </w:r>
    </w:p>
    <w:p w:rsidR="00BA6265" w:rsidRPr="001F40CA" w:rsidRDefault="00BA6265" w:rsidP="001F40CA">
      <w:pPr>
        <w:pStyle w:val="Heading6"/>
      </w:pPr>
      <w:r w:rsidRPr="001F40CA">
        <w:t>Secondary aims:</w:t>
      </w:r>
    </w:p>
    <w:p w:rsidR="00BA6265" w:rsidRDefault="00BA6265" w:rsidP="00660039">
      <w:pPr>
        <w:autoSpaceDE w:val="0"/>
        <w:autoSpaceDN w:val="0"/>
        <w:adjustRightInd w:val="0"/>
        <w:spacing w:after="60"/>
        <w:rPr>
          <w:lang w:bidi="bn-BD"/>
        </w:rPr>
      </w:pPr>
      <w:r w:rsidRPr="00B96EAD">
        <w:rPr>
          <w:u w:val="single"/>
          <w:lang w:bidi="bn-BD"/>
        </w:rPr>
        <w:t>Prevalence of CSOM</w:t>
      </w:r>
      <w:r w:rsidRPr="00B96EAD">
        <w:rPr>
          <w:lang w:bidi="bn-BD"/>
        </w:rPr>
        <w:t xml:space="preserve">: To describe the prevalence of severe otitis media (chronic </w:t>
      </w:r>
      <w:proofErr w:type="spellStart"/>
      <w:r w:rsidRPr="00B96EAD">
        <w:rPr>
          <w:lang w:bidi="bn-BD"/>
        </w:rPr>
        <w:t>suppurative</w:t>
      </w:r>
      <w:proofErr w:type="spellEnd"/>
      <w:r w:rsidRPr="00B96EAD">
        <w:rPr>
          <w:lang w:bidi="bn-BD"/>
        </w:rPr>
        <w:t xml:space="preserve"> otitis media- CSOM and dry perforation) in large Aboriginal communities in the Northern Territory.</w:t>
      </w:r>
    </w:p>
    <w:p w:rsidR="00BA6265" w:rsidRDefault="00BA6265" w:rsidP="00660039">
      <w:pPr>
        <w:autoSpaceDE w:val="0"/>
        <w:autoSpaceDN w:val="0"/>
        <w:adjustRightInd w:val="0"/>
        <w:spacing w:after="60"/>
        <w:rPr>
          <w:lang w:bidi="bn-BD"/>
        </w:rPr>
      </w:pPr>
      <w:r w:rsidRPr="00B96EAD">
        <w:rPr>
          <w:u w:val="single"/>
          <w:lang w:bidi="bn-BD"/>
        </w:rPr>
        <w:t>Microbiology of CSOM</w:t>
      </w:r>
      <w:r w:rsidRPr="00B96EAD">
        <w:rPr>
          <w:lang w:bidi="bn-BD"/>
        </w:rPr>
        <w:t xml:space="preserve">: To describe the prevalence and antibiotic susceptibility of bacteria cultured from nasopharyngeal and ear discharge swabs in children with CSOM. </w:t>
      </w:r>
    </w:p>
    <w:p w:rsidR="00BA6265" w:rsidRDefault="00BA6265" w:rsidP="00660039">
      <w:pPr>
        <w:autoSpaceDE w:val="0"/>
        <w:autoSpaceDN w:val="0"/>
        <w:spacing w:after="120"/>
      </w:pPr>
      <w:r w:rsidRPr="00B96EAD">
        <w:rPr>
          <w:u w:val="single"/>
        </w:rPr>
        <w:t>Clinical course of CSOM</w:t>
      </w:r>
      <w:r w:rsidRPr="00B96EAD">
        <w:t>:</w:t>
      </w:r>
      <w:r w:rsidRPr="00B96EAD">
        <w:rPr>
          <w:i/>
        </w:rPr>
        <w:t xml:space="preserve"> </w:t>
      </w:r>
      <w:r w:rsidRPr="00B96EAD">
        <w:t>Using clinical databases with video-</w:t>
      </w:r>
      <w:proofErr w:type="spellStart"/>
      <w:r w:rsidRPr="00B96EAD">
        <w:t>otoscope</w:t>
      </w:r>
      <w:proofErr w:type="spellEnd"/>
      <w:r w:rsidRPr="00B96EAD">
        <w:t xml:space="preserve"> images, tympanometry and audiology data, we will document the clinical course of CSOM over a 12 month period.</w:t>
      </w:r>
    </w:p>
    <w:p w:rsidR="00BA6265" w:rsidRPr="00501410" w:rsidRDefault="00BA6265" w:rsidP="00501410">
      <w:pPr>
        <w:pStyle w:val="Heading5"/>
        <w:pBdr>
          <w:top w:val="none" w:sz="0" w:space="0" w:color="auto"/>
          <w:left w:val="none" w:sz="0" w:space="0" w:color="auto"/>
          <w:bottom w:val="none" w:sz="0" w:space="0" w:color="auto"/>
          <w:right w:val="none" w:sz="0" w:space="0" w:color="auto"/>
        </w:pBdr>
      </w:pPr>
      <w:r w:rsidRPr="00501410">
        <w:t>BACKGROUND</w:t>
      </w:r>
    </w:p>
    <w:p w:rsidR="00BA6265" w:rsidRPr="00B96EAD" w:rsidRDefault="00BA6265" w:rsidP="00501410">
      <w:pPr>
        <w:spacing w:after="120"/>
        <w:rPr>
          <w:spacing w:val="2"/>
        </w:rPr>
      </w:pPr>
      <w:r w:rsidRPr="00B96EAD">
        <w:t>Aboriginal children in the Northern Territory (NT) have the highest reported rates of acute and chronic ear infections in the world.</w:t>
      </w:r>
      <w:r w:rsidR="009B5648" w:rsidRPr="00B96EAD">
        <w:fldChar w:fldCharType="begin"/>
      </w:r>
      <w:r w:rsidRPr="00B96EAD">
        <w:instrText xml:space="preserve"> ADDIN REFMGR.CITE &lt;Refman&gt;&lt;Cite&gt;&lt;Author&gt;Coates&lt;/Author&gt;&lt;Year&gt;2002&lt;/Year&gt;&lt;RecNum&gt;3028&lt;/RecNum&gt;&lt;IDText&gt;Otitis media in Aboriginal children: tackling a major health problem&lt;/IDText&gt;&lt;MDL Ref_Type="Journal"&gt;&lt;Ref_Type&gt;Journal&lt;/Ref_Type&gt;&lt;Ref_ID&gt;3028&lt;/Ref_ID&gt;&lt;Title_Primary&gt;Otitis media in Aboriginal children: tackling a major health problem&lt;/Title_Primary&gt;&lt;Authors_Primary&gt;Coates,H.L.&lt;/Authors_Primary&gt;&lt;Authors_Primary&gt;Morris,P.S.&lt;/Authors_Primary&gt;&lt;Authors_Primary&gt;Leach,A.J.&lt;/Authors_Primary&gt;&lt;Authors_Primary&gt;Couzos,S.&lt;/Authors_Primary&gt;&lt;Date_Primary&gt;2002&lt;/Date_Primary&gt;&lt;Keywords&gt;otitis&lt;/Keywords&gt;&lt;Keywords&gt;otitis media&lt;/Keywords&gt;&lt;Keywords&gt;Aboriginal&lt;/Keywords&gt;&lt;Keywords&gt;Health&lt;/Keywords&gt;&lt;Reprint&gt;Not in File&lt;/Reprint&gt;&lt;Start_Page&gt;177&lt;/Start_Page&gt;&lt;End_Page&gt;178&lt;/End_Page&gt;&lt;Periodical&gt;Med J Aust&lt;/Periodical&gt;&lt;Volume&gt;177&lt;/Volume&gt;&lt;ZZ_JournalFull&gt;&lt;f name="System"&gt;Med J Aust&lt;/f&gt;&lt;/ZZ_JournalFull&gt;&lt;ZZ_WorkformID&gt;1&lt;/ZZ_WorkformID&gt;&lt;/MDL&gt;&lt;/Cite&gt;&lt;Cite&gt;&lt;Author&gt;Leach&lt;/Author&gt;&lt;Year&gt;1999&lt;/Year&gt;&lt;RecNum&gt;2274&lt;/RecNum&gt;&lt;IDText&gt;Otitis media in Australian Aboriginal children: an overview&lt;/IDText&gt;&lt;MDL Ref_Type="Journal"&gt;&lt;Ref_Type&gt;Journal&lt;/Ref_Type&gt;&lt;Ref_ID&gt;2274&lt;/Ref_ID&gt;&lt;Title_Primary&gt;Otitis media in Australian Aboriginal children: an overview&lt;/Title_Primary&gt;&lt;Authors_Primary&gt;Leach,A.J.&lt;/Authors_Primary&gt;&lt;Date_Primary&gt;1999/10/5&lt;/Date_Primary&gt;&lt;Keywords&gt;Aboriginal&lt;/Keywords&gt;&lt;Keywords&gt;Aborigines&lt;/Keywords&gt;&lt;Keywords&gt;antibiotic&lt;/Keywords&gt;&lt;Keywords&gt;Australia&lt;/Keywords&gt;&lt;Keywords&gt;Australoid Race&lt;/Keywords&gt;&lt;Keywords&gt;bronchiectasis&lt;/Keywords&gt;&lt;Keywords&gt;bronchitis&lt;/Keywords&gt;&lt;Keywords&gt;Child&lt;/Keywords&gt;&lt;Keywords&gt;Child,Preschool&lt;/Keywords&gt;&lt;Keywords&gt;Chronic Disease&lt;/Keywords&gt;&lt;Keywords&gt;Chronic-Disease&lt;/Keywords&gt;&lt;Keywords&gt;Cross Infection&lt;/Keywords&gt;&lt;Keywords&gt;Disease&lt;/Keywords&gt;&lt;Keywords&gt;Drug Resistance,Microbial&lt;/Keywords&gt;&lt;Keywords&gt;drug therapy&lt;/Keywords&gt;&lt;Keywords&gt;education&lt;/Keywords&gt;&lt;Keywords&gt;epidemiology&lt;/Keywords&gt;&lt;Keywords&gt;ethnology&lt;/Keywords&gt;&lt;Keywords&gt;Health&lt;/Keywords&gt;&lt;Keywords&gt;Hearing&lt;/Keywords&gt;&lt;Keywords&gt;Human&lt;/Keywords&gt;&lt;Keywords&gt;Hygiene&lt;/Keywords&gt;&lt;Keywords&gt;Infant&lt;/Keywords&gt;&lt;Keywords&gt;Infant,Newborn&lt;/Keywords&gt;&lt;Keywords&gt;Infection&lt;/Keywords&gt;&lt;Keywords&gt;microbiology&lt;/Keywords&gt;&lt;Keywords&gt;otitis&lt;/Keywords&gt;&lt;Keywords&gt;otitis media&lt;/Keywords&gt;&lt;Keywords&gt;overview&lt;/Keywords&gt;&lt;Keywords&gt;Researc0h&lt;/Keywords&gt;&lt;Keywords&gt;standards&lt;/Keywords&gt;&lt;Keywords&gt;Support,Non-U.S.Gov&amp;apos;t&lt;/Keywords&gt;&lt;Reprint&gt;Not in File&lt;/Reprint&gt;&lt;Start_Page&gt;S173&lt;/Start_Page&gt;&lt;End_Page&gt;S178&lt;/End_Page&gt;&lt;Periodical&gt;Int.J.Pediatr.Otorhinolaryngol.&lt;/Periodical&gt;&lt;Volume&gt;49 Suppl 1:S173-8&lt;/Volume&gt;&lt;ZZ_JournalStdAbbrev&gt;&lt;f name="System"&gt;Int.J.Pediatr.Otorhinolaryngol.&lt;/f&gt;&lt;/ZZ_JournalStdAbbrev&gt;&lt;ZZ_WorkformID&gt;1&lt;/ZZ_WorkformID&gt;&lt;/MDL&gt;&lt;/Cite&gt;&lt;/Refman&gt;</w:instrText>
      </w:r>
      <w:r w:rsidR="009B5648" w:rsidRPr="00B96EAD">
        <w:fldChar w:fldCharType="separate"/>
      </w:r>
      <w:r w:rsidRPr="00B96EAD">
        <w:rPr>
          <w:vertAlign w:val="superscript"/>
        </w:rPr>
        <w:t>1, 2</w:t>
      </w:r>
      <w:r w:rsidR="009B5648" w:rsidRPr="00B96EAD">
        <w:fldChar w:fldCharType="end"/>
      </w:r>
      <w:r w:rsidRPr="00B96EAD">
        <w:t xml:space="preserve">  Severe</w:t>
      </w:r>
      <w:r w:rsidRPr="00B96EAD">
        <w:rPr>
          <w:spacing w:val="58"/>
        </w:rPr>
        <w:t xml:space="preserve"> </w:t>
      </w:r>
      <w:r w:rsidRPr="00B96EAD">
        <w:t>otitis</w:t>
      </w:r>
      <w:r w:rsidRPr="00B96EAD">
        <w:rPr>
          <w:spacing w:val="58"/>
        </w:rPr>
        <w:t xml:space="preserve"> </w:t>
      </w:r>
      <w:r w:rsidRPr="00B96EAD">
        <w:rPr>
          <w:spacing w:val="-3"/>
        </w:rPr>
        <w:t>m</w:t>
      </w:r>
      <w:r w:rsidRPr="00B96EAD">
        <w:t>edia</w:t>
      </w:r>
      <w:r w:rsidRPr="00B96EAD">
        <w:rPr>
          <w:spacing w:val="58"/>
        </w:rPr>
        <w:t xml:space="preserve"> </w:t>
      </w:r>
      <w:r w:rsidRPr="00B96EAD">
        <w:t>is</w:t>
      </w:r>
      <w:r w:rsidRPr="00B96EAD">
        <w:rPr>
          <w:spacing w:val="58"/>
        </w:rPr>
        <w:t xml:space="preserve"> </w:t>
      </w:r>
      <w:r w:rsidRPr="00B96EAD">
        <w:t>one</w:t>
      </w:r>
      <w:r w:rsidRPr="00B96EAD">
        <w:rPr>
          <w:spacing w:val="58"/>
        </w:rPr>
        <w:t xml:space="preserve"> </w:t>
      </w:r>
      <w:r w:rsidRPr="00B96EAD">
        <w:t>of</w:t>
      </w:r>
      <w:r w:rsidRPr="00B96EAD">
        <w:rPr>
          <w:spacing w:val="58"/>
        </w:rPr>
        <w:t xml:space="preserve"> </w:t>
      </w:r>
      <w:r w:rsidRPr="00B96EAD">
        <w:t>the</w:t>
      </w:r>
      <w:r w:rsidRPr="00B96EAD">
        <w:rPr>
          <w:spacing w:val="58"/>
        </w:rPr>
        <w:t xml:space="preserve"> </w:t>
      </w:r>
      <w:r w:rsidRPr="00B96EAD">
        <w:t>most</w:t>
      </w:r>
      <w:r w:rsidRPr="00B96EAD">
        <w:rPr>
          <w:spacing w:val="58"/>
        </w:rPr>
        <w:t xml:space="preserve"> </w:t>
      </w:r>
      <w:r w:rsidRPr="00B96EAD">
        <w:t>i</w:t>
      </w:r>
      <w:r w:rsidRPr="00B96EAD">
        <w:rPr>
          <w:spacing w:val="-3"/>
        </w:rPr>
        <w:t>m</w:t>
      </w:r>
      <w:r w:rsidRPr="00B96EAD">
        <w:t>port</w:t>
      </w:r>
      <w:r w:rsidRPr="00B96EAD">
        <w:rPr>
          <w:spacing w:val="-3"/>
        </w:rPr>
        <w:t>a</w:t>
      </w:r>
      <w:r w:rsidRPr="00B96EAD">
        <w:t>nt</w:t>
      </w:r>
      <w:r w:rsidRPr="00B96EAD">
        <w:rPr>
          <w:spacing w:val="58"/>
        </w:rPr>
        <w:t xml:space="preserve"> </w:t>
      </w:r>
      <w:r w:rsidRPr="00B96EAD">
        <w:t>health</w:t>
      </w:r>
      <w:r w:rsidRPr="00B96EAD">
        <w:rPr>
          <w:spacing w:val="58"/>
        </w:rPr>
        <w:t xml:space="preserve"> </w:t>
      </w:r>
      <w:r w:rsidRPr="00B96EAD">
        <w:t>proble</w:t>
      </w:r>
      <w:r w:rsidRPr="00B96EAD">
        <w:rPr>
          <w:spacing w:val="-3"/>
        </w:rPr>
        <w:t>m</w:t>
      </w:r>
      <w:r w:rsidRPr="00B96EAD">
        <w:t>s</w:t>
      </w:r>
      <w:r w:rsidRPr="00B96EAD">
        <w:rPr>
          <w:spacing w:val="58"/>
        </w:rPr>
        <w:t xml:space="preserve"> </w:t>
      </w:r>
      <w:r w:rsidRPr="00B96EAD">
        <w:t>af</w:t>
      </w:r>
      <w:r w:rsidRPr="00B96EAD">
        <w:rPr>
          <w:spacing w:val="-2"/>
        </w:rPr>
        <w:t>f</w:t>
      </w:r>
      <w:r w:rsidRPr="00B96EAD">
        <w:t>ecting</w:t>
      </w:r>
      <w:r w:rsidRPr="00B96EAD">
        <w:rPr>
          <w:spacing w:val="58"/>
        </w:rPr>
        <w:t xml:space="preserve"> </w:t>
      </w:r>
      <w:r w:rsidRPr="00B96EAD">
        <w:t>young</w:t>
      </w:r>
      <w:r w:rsidRPr="00B96EAD">
        <w:rPr>
          <w:spacing w:val="58"/>
        </w:rPr>
        <w:t xml:space="preserve"> </w:t>
      </w:r>
      <w:r w:rsidRPr="00B96EAD">
        <w:t>Aboriginal children in Australia today</w:t>
      </w:r>
      <w:r w:rsidRPr="00B96EAD">
        <w:rPr>
          <w:spacing w:val="-3"/>
        </w:rPr>
        <w:t>.</w:t>
      </w:r>
      <w:r w:rsidR="009B5648" w:rsidRPr="00B96EAD">
        <w:rPr>
          <w:spacing w:val="-3"/>
        </w:rPr>
        <w:fldChar w:fldCharType="begin"/>
      </w:r>
      <w:r w:rsidRPr="00B96EAD">
        <w:rPr>
          <w:spacing w:val="-3"/>
        </w:rPr>
        <w:instrText xml:space="preserve"> ADDIN REFMGR.CITE &lt;Refman&gt;&lt;Cite&gt;&lt;Author&gt;Morris PS&lt;/Author&gt;&lt;Year&gt;1998&lt;/Year&gt;&lt;RecNum&gt;11&lt;/RecNum&gt;&lt;IDText&gt;A systematic review of clinical research addressing the prevalence, aetiology, diagnosis, prognosis and therapy of otitis media in Australian Aboriginal children.&lt;/IDText&gt;&lt;MDL Ref_Type="Journal"&gt;&lt;Ref_Type&gt;Journal&lt;/Ref_Type&gt;&lt;Ref_ID&gt;11&lt;/Ref_ID&gt;&lt;Title_Primary&gt;A systematic review of clinical research addressing the prevalence, aetiology, diagnosis, prognosis and therapy of otitis media in Australian Aboriginal children.&lt;/Title_Primary&gt;&lt;Authors_Primary&gt;Morris PS&lt;/Authors_Primary&gt;&lt;Date_Primary&gt;1998&lt;/Date_Primary&gt;&lt;Keywords&gt;systematic review&lt;/Keywords&gt;&lt;Keywords&gt;diagnosis&lt;/Keywords&gt;&lt;Keywords&gt;otitis media&lt;/Keywords&gt;&lt;Keywords&gt;Aborigines&lt;/Keywords&gt;&lt;Reprint&gt;In File&lt;/Reprint&gt;&lt;Start_Page&gt;487&lt;/Start_Page&gt;&lt;End_Page&gt;497&lt;/End_Page&gt;&lt;Periodical&gt;Journal of Paediatrics and Child Health&lt;/Periodical&gt;&lt;Volume&gt;34&lt;/Volume&gt;&lt;Issue&gt;6&lt;/Issue&gt;&lt;ZZ_JournalFull&gt;&lt;f name="System"&gt;Journal of Paediatrics and Child Health&lt;/f&gt;&lt;/ZZ_JournalFull&gt;&lt;ZZ_WorkformID&gt;1&lt;/ZZ_WorkformID&gt;&lt;/MDL&gt;&lt;/Cite&gt;&lt;Cite&gt;&lt;Author&gt;Morris&lt;/Author&gt;&lt;Year&gt;2009&lt;/Year&gt;&lt;RecNum&gt;3513&lt;/RecNum&gt;&lt;IDText&gt;Acute and chronic otitis media&lt;/IDText&gt;&lt;MDL Ref_Type="Journal"&gt;&lt;Ref_Type&gt;Journal&lt;/Ref_Type&gt;&lt;Ref_ID&gt;3513&lt;/Ref_ID&gt;&lt;Title_Primary&gt;Acute and chronic otitis media&lt;/Title_Primary&gt;&lt;Authors_Primary&gt;Morris,P.S.&lt;/Authors_Primary&gt;&lt;Authors_Primary&gt;Leach,A.J.&lt;/Authors_Primary&gt;&lt;Date_Primary&gt;2009/12&lt;/Date_Primary&gt;&lt;Keywords&gt;Acute Disease&lt;/Keywords&gt;&lt;Keywords&gt;Australia&lt;/Keywords&gt;&lt;Keywords&gt;bronchiectasis&lt;/Keywords&gt;&lt;Keywords&gt;Canada&lt;/Keywords&gt;&lt;Keywords&gt;Child&lt;/Keywords&gt;&lt;Keywords&gt;Chronic Disease&lt;/Keywords&gt;&lt;Keywords&gt;complications&lt;/Keywords&gt;&lt;Keywords&gt;controlled trial&lt;/Keywords&gt;&lt;Keywords&gt;controlled trials&lt;/Keywords&gt;&lt;Keywords&gt;Cost of Illness&lt;/Keywords&gt;&lt;Keywords&gt;diagnosis&lt;/Keywords&gt;&lt;Keywords&gt;Disease&lt;/Keywords&gt;&lt;Keywords&gt;epidemiology&lt;/Keywords&gt;&lt;Keywords&gt;etiology&lt;/Keywords&gt;&lt;Keywords&gt;Europe&lt;/Keywords&gt;&lt;Keywords&gt;evidence-based medicine&lt;/Keywords&gt;&lt;Keywords&gt;Family&lt;/Keywords&gt;&lt;Keywords&gt;Health&lt;/Keywords&gt;&lt;Keywords&gt;Health Services,Indigenous&lt;/Keywords&gt;&lt;Keywords&gt;high risk population&lt;/Keywords&gt;&lt;Keywords&gt;Humans&lt;/Keywords&gt;&lt;Keywords&gt;indigenous&lt;/Keywords&gt;&lt;Keywords&gt;Infection&lt;/Keywords&gt;&lt;Keywords&gt;Lung&lt;/Keywords&gt;&lt;Keywords&gt;New Zealand&lt;/Keywords&gt;&lt;Keywords&gt;otitis&lt;/Keywords&gt;&lt;Keywords&gt;otitis media&lt;/Keywords&gt;&lt;Keywords&gt;Otitis Media with Effusion&lt;/Keywords&gt;&lt;Keywords&gt;Otitis Media,Suppurative&lt;/Keywords&gt;&lt;Keywords&gt;physiopathology&lt;/Keywords&gt;&lt;Keywords&gt;pneumonia&lt;/Keywords&gt;&lt;Keywords&gt;Population&lt;/Keywords&gt;&lt;Keywords&gt;Population Groups&lt;/Keywords&gt;&lt;Keywords&gt;Public Health&lt;/Keywords&gt;&lt;Keywords&gt;randomized controlled trial&lt;/Keywords&gt;&lt;Keywords&gt;Randomized Controlled Trials&lt;/Keywords&gt;&lt;Keywords&gt;Research&lt;/Keywords&gt;&lt;Keywords&gt;Respiratory Tract Infections&lt;/Keywords&gt;&lt;Keywords&gt;Severity of Illness Index&lt;/Keywords&gt;&lt;Keywords&gt;therapy&lt;/Keywords&gt;&lt;Keywords&gt;Treatment Outcome&lt;/Keywords&gt;&lt;Keywords&gt;Tympanic Membrane&lt;/Keywords&gt;&lt;Keywords&gt;Tympanic Membrane Perforation&lt;/Keywords&gt;&lt;Keywords&gt;United States&lt;/Keywords&gt;&lt;Reprint&gt;Not in File&lt;/Reprint&gt;&lt;Start_Page&gt;1383&lt;/Start_Page&gt;&lt;End_Page&gt;1399&lt;/End_Page&gt;&lt;Periodical&gt;Pediatr.Clin.North Am.&lt;/Periodical&gt;&lt;Volume&gt;56&lt;/Volume&gt;&lt;Issue&gt;6&lt;/Issue&gt;&lt;Address&gt;Child Health Division, Menzies School of Health Research, PO Box 41096, Casuarina, NT 0811, Australia. peterm@menzies.edu.au&lt;/Address&gt;&lt;Web_URL&gt;PM:19962027&lt;/Web_URL&gt;&lt;ZZ_JournalStdAbbrev&gt;&lt;f name="System"&gt;Pediatr.Clin.North Am.&lt;/f&gt;&lt;/ZZ_JournalStdAbbrev&gt;&lt;ZZ_WorkformID&gt;1&lt;/ZZ_WorkformID&gt;&lt;/MDL&gt;&lt;/Cite&gt;&lt;/Refman&gt;</w:instrText>
      </w:r>
      <w:r w:rsidR="009B5648" w:rsidRPr="00B96EAD">
        <w:rPr>
          <w:spacing w:val="-3"/>
        </w:rPr>
        <w:fldChar w:fldCharType="separate"/>
      </w:r>
      <w:r w:rsidRPr="00B96EAD">
        <w:rPr>
          <w:spacing w:val="-3"/>
          <w:vertAlign w:val="superscript"/>
        </w:rPr>
        <w:t>3, 4</w:t>
      </w:r>
      <w:r w:rsidR="009B5648" w:rsidRPr="00B96EAD">
        <w:rPr>
          <w:spacing w:val="-3"/>
        </w:rPr>
        <w:fldChar w:fldCharType="end"/>
      </w:r>
      <w:r w:rsidRPr="00B96EAD" w:rsidDel="00F32417">
        <w:rPr>
          <w:vertAlign w:val="superscript"/>
        </w:rPr>
        <w:t xml:space="preserve"> </w:t>
      </w:r>
      <w:r w:rsidRPr="00B96EAD">
        <w:t xml:space="preserve">  </w:t>
      </w:r>
      <w:proofErr w:type="gramStart"/>
      <w:r w:rsidRPr="00B96EAD">
        <w:t>The</w:t>
      </w:r>
      <w:proofErr w:type="gramEnd"/>
      <w:r w:rsidRPr="00B96EAD">
        <w:t xml:space="preserve"> impact</w:t>
      </w:r>
      <w:r w:rsidRPr="00B96EAD">
        <w:rPr>
          <w:spacing w:val="4"/>
        </w:rPr>
        <w:t xml:space="preserve"> </w:t>
      </w:r>
      <w:r w:rsidRPr="00B96EAD">
        <w:t>of</w:t>
      </w:r>
      <w:r w:rsidRPr="00B96EAD">
        <w:rPr>
          <w:spacing w:val="4"/>
        </w:rPr>
        <w:t xml:space="preserve"> </w:t>
      </w:r>
      <w:r w:rsidRPr="00B96EAD">
        <w:t>the</w:t>
      </w:r>
      <w:r w:rsidRPr="00B96EAD">
        <w:rPr>
          <w:spacing w:val="4"/>
        </w:rPr>
        <w:t xml:space="preserve"> </w:t>
      </w:r>
      <w:r w:rsidRPr="00B96EAD">
        <w:t>illne</w:t>
      </w:r>
      <w:r w:rsidRPr="00B96EAD">
        <w:rPr>
          <w:spacing w:val="-3"/>
        </w:rPr>
        <w:t>s</w:t>
      </w:r>
      <w:r w:rsidRPr="00B96EAD">
        <w:t>s</w:t>
      </w:r>
      <w:r w:rsidRPr="00B96EAD">
        <w:rPr>
          <w:spacing w:val="4"/>
        </w:rPr>
        <w:t xml:space="preserve"> </w:t>
      </w:r>
      <w:r w:rsidRPr="00B96EAD">
        <w:t>is</w:t>
      </w:r>
      <w:r w:rsidRPr="00B96EAD">
        <w:rPr>
          <w:spacing w:val="4"/>
        </w:rPr>
        <w:t xml:space="preserve"> </w:t>
      </w:r>
      <w:r w:rsidRPr="00B96EAD">
        <w:t>c</w:t>
      </w:r>
      <w:r w:rsidRPr="00B96EAD">
        <w:rPr>
          <w:spacing w:val="-3"/>
        </w:rPr>
        <w:t>o</w:t>
      </w:r>
      <w:r w:rsidRPr="00B96EAD">
        <w:t>mpounded</w:t>
      </w:r>
      <w:r w:rsidRPr="00B96EAD">
        <w:rPr>
          <w:spacing w:val="4"/>
        </w:rPr>
        <w:t xml:space="preserve"> </w:t>
      </w:r>
      <w:r w:rsidRPr="00B96EAD">
        <w:t>by</w:t>
      </w:r>
      <w:r w:rsidRPr="00B96EAD">
        <w:rPr>
          <w:spacing w:val="4"/>
        </w:rPr>
        <w:t xml:space="preserve"> </w:t>
      </w:r>
      <w:r w:rsidRPr="00B96EAD">
        <w:t>its</w:t>
      </w:r>
      <w:r w:rsidRPr="00B96EAD">
        <w:rPr>
          <w:spacing w:val="4"/>
        </w:rPr>
        <w:t xml:space="preserve"> </w:t>
      </w:r>
      <w:r w:rsidRPr="00B96EAD">
        <w:t>effects</w:t>
      </w:r>
      <w:r w:rsidRPr="00B96EAD">
        <w:rPr>
          <w:spacing w:val="4"/>
        </w:rPr>
        <w:t xml:space="preserve"> </w:t>
      </w:r>
      <w:r w:rsidRPr="00B96EAD">
        <w:t>on hearing.</w:t>
      </w:r>
      <w:r w:rsidRPr="00B96EAD">
        <w:rPr>
          <w:spacing w:val="12"/>
        </w:rPr>
        <w:t xml:space="preserve"> </w:t>
      </w:r>
      <w:r w:rsidRPr="00B96EAD">
        <w:t>Overall</w:t>
      </w:r>
      <w:r>
        <w:t>,</w:t>
      </w:r>
      <w:r w:rsidRPr="00B96EAD">
        <w:rPr>
          <w:spacing w:val="12"/>
        </w:rPr>
        <w:t xml:space="preserve"> </w:t>
      </w:r>
      <w:r w:rsidRPr="00B96EAD">
        <w:t>50-80%</w:t>
      </w:r>
      <w:r w:rsidRPr="00B96EAD">
        <w:rPr>
          <w:spacing w:val="12"/>
        </w:rPr>
        <w:t xml:space="preserve"> </w:t>
      </w:r>
      <w:r w:rsidRPr="00B96EAD">
        <w:t>o</w:t>
      </w:r>
      <w:r w:rsidRPr="00B96EAD">
        <w:rPr>
          <w:spacing w:val="-3"/>
        </w:rPr>
        <w:t>f</w:t>
      </w:r>
      <w:r w:rsidRPr="00B96EAD">
        <w:rPr>
          <w:spacing w:val="12"/>
        </w:rPr>
        <w:t xml:space="preserve"> </w:t>
      </w:r>
      <w:r w:rsidRPr="00B96EAD">
        <w:t>young</w:t>
      </w:r>
      <w:r w:rsidRPr="00B96EAD">
        <w:rPr>
          <w:spacing w:val="12"/>
        </w:rPr>
        <w:t xml:space="preserve"> </w:t>
      </w:r>
      <w:r w:rsidRPr="00B96EAD">
        <w:t>Aboriginal</w:t>
      </w:r>
      <w:r w:rsidRPr="00B96EAD">
        <w:rPr>
          <w:spacing w:val="12"/>
        </w:rPr>
        <w:t xml:space="preserve"> </w:t>
      </w:r>
      <w:r w:rsidRPr="00B96EAD">
        <w:t>children</w:t>
      </w:r>
      <w:r w:rsidRPr="00B96EAD">
        <w:rPr>
          <w:spacing w:val="12"/>
        </w:rPr>
        <w:t xml:space="preserve"> </w:t>
      </w:r>
      <w:r w:rsidRPr="00B96EAD">
        <w:t>living</w:t>
      </w:r>
      <w:r w:rsidRPr="00B96EAD">
        <w:rPr>
          <w:spacing w:val="12"/>
        </w:rPr>
        <w:t xml:space="preserve"> </w:t>
      </w:r>
      <w:r w:rsidRPr="00B96EAD">
        <w:t>in</w:t>
      </w:r>
      <w:r w:rsidRPr="00B96EAD">
        <w:rPr>
          <w:spacing w:val="12"/>
        </w:rPr>
        <w:t xml:space="preserve"> </w:t>
      </w:r>
      <w:r w:rsidRPr="00B96EAD">
        <w:t>r</w:t>
      </w:r>
      <w:r w:rsidRPr="00B96EAD">
        <w:rPr>
          <w:spacing w:val="-2"/>
        </w:rPr>
        <w:t>e</w:t>
      </w:r>
      <w:r w:rsidRPr="00B96EAD">
        <w:rPr>
          <w:spacing w:val="-3"/>
        </w:rPr>
        <w:t>m</w:t>
      </w:r>
      <w:r w:rsidRPr="00B96EAD">
        <w:rPr>
          <w:spacing w:val="-2"/>
        </w:rPr>
        <w:t>o</w:t>
      </w:r>
      <w:r w:rsidRPr="00B96EAD">
        <w:t>te</w:t>
      </w:r>
      <w:r w:rsidRPr="00B96EAD">
        <w:rPr>
          <w:spacing w:val="12"/>
        </w:rPr>
        <w:t xml:space="preserve"> </w:t>
      </w:r>
      <w:r w:rsidRPr="00B96EAD">
        <w:t>NT</w:t>
      </w:r>
      <w:r w:rsidRPr="00B96EAD">
        <w:rPr>
          <w:spacing w:val="12"/>
        </w:rPr>
        <w:t xml:space="preserve"> </w:t>
      </w:r>
      <w:r w:rsidRPr="00B96EAD">
        <w:t>communities</w:t>
      </w:r>
      <w:r w:rsidRPr="00B96EAD">
        <w:rPr>
          <w:spacing w:val="12"/>
        </w:rPr>
        <w:t xml:space="preserve"> </w:t>
      </w:r>
      <w:r w:rsidRPr="00B96EAD">
        <w:t>are</w:t>
      </w:r>
      <w:r w:rsidRPr="00B96EAD">
        <w:rPr>
          <w:spacing w:val="12"/>
        </w:rPr>
        <w:t xml:space="preserve"> </w:t>
      </w:r>
      <w:r w:rsidRPr="00B96EAD">
        <w:t>likely to</w:t>
      </w:r>
      <w:r w:rsidRPr="00B96EAD">
        <w:rPr>
          <w:spacing w:val="2"/>
        </w:rPr>
        <w:t xml:space="preserve"> </w:t>
      </w:r>
      <w:r w:rsidRPr="00B96EAD">
        <w:t>have</w:t>
      </w:r>
      <w:r w:rsidRPr="00B96EAD">
        <w:rPr>
          <w:spacing w:val="2"/>
        </w:rPr>
        <w:t xml:space="preserve"> </w:t>
      </w:r>
      <w:r w:rsidRPr="00B96EAD">
        <w:t>significant</w:t>
      </w:r>
      <w:r w:rsidRPr="00B96EAD">
        <w:rPr>
          <w:spacing w:val="2"/>
        </w:rPr>
        <w:t xml:space="preserve"> </w:t>
      </w:r>
      <w:r w:rsidRPr="00B96EAD">
        <w:t>hearing</w:t>
      </w:r>
      <w:r w:rsidRPr="00B96EAD">
        <w:rPr>
          <w:spacing w:val="2"/>
        </w:rPr>
        <w:t xml:space="preserve"> </w:t>
      </w:r>
      <w:r w:rsidRPr="00B96EAD">
        <w:t>loss</w:t>
      </w:r>
      <w:r w:rsidRPr="00B96EAD">
        <w:rPr>
          <w:spacing w:val="-4"/>
        </w:rPr>
        <w:t>.</w:t>
      </w:r>
      <w:r w:rsidR="009B5648" w:rsidRPr="00B96EAD">
        <w:rPr>
          <w:spacing w:val="-4"/>
        </w:rPr>
        <w:fldChar w:fldCharType="begin"/>
      </w:r>
      <w:r w:rsidRPr="00B96EAD">
        <w:rPr>
          <w:spacing w:val="-4"/>
        </w:rPr>
        <w:instrText xml:space="preserve"> ADDIN REFMGR.CITE &lt;Refman&gt;&lt;Cite&gt;&lt;Author&gt;McPherson&lt;/Author&gt;&lt;Year&gt;1990&lt;/Year&gt;&lt;RecNum&gt;254&lt;/RecNum&gt;&lt;IDText&gt;Hearing loss in Australian Aborigines: a critical evaluation.&lt;/IDText&gt;&lt;MDL Ref_Type="Journal"&gt;&lt;Ref_Type&gt;Journal&lt;/Ref_Type&gt;&lt;Ref_ID&gt;254&lt;/Ref_ID&gt;&lt;Title_Primary&gt;Hearing loss in Australian Aborigines: a critical evaluation.&lt;/Title_Primary&gt;&lt;Authors_Primary&gt;McPherson,B.&lt;/Authors_Primary&gt;&lt;Date_Primary&gt;1990&lt;/Date_Primary&gt;&lt;Keywords&gt;Hearing&lt;/Keywords&gt;&lt;Keywords&gt;Aborigines&lt;/Keywords&gt;&lt;Keywords&gt;Aborigine&lt;/Keywords&gt;&lt;Keywords&gt;otitis media&lt;/Keywords&gt;&lt;Reprint&gt;In File&lt;/Reprint&gt;&lt;Start_Page&gt;67&lt;/Start_Page&gt;&lt;End_Page&gt;78&lt;/End_Page&gt;&lt;Periodical&gt;Aust.J.Audiol&lt;/Periodical&gt;&lt;Volume&gt;12&lt;/Volume&gt;&lt;ZZ_JournalFull&gt;&lt;f name="System"&gt;Aust.J.Audiol&lt;/f&gt;&lt;/ZZ_JournalFull&gt;&lt;ZZ_WorkformID&gt;1&lt;/ZZ_WorkformID&gt;&lt;/MDL&gt;&lt;/Cite&gt;&lt;Cite&gt;&lt;Author&gt;Australian Institute of Health and Welfare&lt;/Author&gt;&lt;Year&gt;2011&lt;/Year&gt;&lt;RecNum&gt;3749&lt;/RecNum&gt;&lt;IDText&gt;Ear and hearing health of Indigenous children in the Northern Territory. Cat. no. IHW 60.&lt;/IDText&gt;&lt;MDL Ref_Type="Book, Whole"&gt;&lt;Ref_Type&gt;Book, Whole&lt;/Ref_Type&gt;&lt;Ref_ID&gt;3749&lt;/Ref_ID&gt;&lt;Title_Primary&gt;Ear and hearing health of Indigenous children in the Northern Territory. Cat. no. IHW 60.&lt;/Title_Primary&gt;&lt;Authors_Primary&gt;Australian Institute of Health and Welfare&lt;/Authors_Primary&gt;&lt;Date_Primary&gt;2011&lt;/Date_Primary&gt;&lt;Keywords&gt;Ear&lt;/Keywords&gt;&lt;Keywords&gt;Hearing&lt;/Keywords&gt;&lt;Keywords&gt;Health&lt;/Keywords&gt;&lt;Keywords&gt;indigenous&lt;/Keywords&gt;&lt;Keywords&gt;Northern Territory&lt;/Keywords&gt;&lt;Reprint&gt;Not in File&lt;/Reprint&gt;&lt;Pub_Place&gt;Canberra&lt;/Pub_Place&gt;&lt;Publisher&gt;Australian Government&lt;/Publisher&gt;&lt;Web_URL&gt;&lt;u&gt;http://www.aihw.gov.au/WorkArea/DownloadAsset.aspx?id=10737420428 &lt;/u&gt;&lt;/Web_URL&gt;&lt;ZZ_WorkformID&gt;2&lt;/ZZ_WorkformID&gt;&lt;/MDL&gt;&lt;/Cite&gt;&lt;/Refman&gt;</w:instrText>
      </w:r>
      <w:r w:rsidR="009B5648" w:rsidRPr="00B96EAD">
        <w:rPr>
          <w:spacing w:val="-4"/>
        </w:rPr>
        <w:fldChar w:fldCharType="separate"/>
      </w:r>
      <w:r w:rsidRPr="00B96EAD">
        <w:rPr>
          <w:spacing w:val="-4"/>
          <w:vertAlign w:val="superscript"/>
        </w:rPr>
        <w:t>5, 6</w:t>
      </w:r>
      <w:r w:rsidR="009B5648" w:rsidRPr="00B96EAD">
        <w:rPr>
          <w:spacing w:val="-4"/>
        </w:rPr>
        <w:fldChar w:fldCharType="end"/>
      </w:r>
      <w:r w:rsidRPr="00B96EAD">
        <w:rPr>
          <w:spacing w:val="2"/>
        </w:rPr>
        <w:t xml:space="preserve"> Of all forms of ear disease</w:t>
      </w:r>
      <w:r>
        <w:rPr>
          <w:spacing w:val="2"/>
        </w:rPr>
        <w:t>,</w:t>
      </w:r>
      <w:r w:rsidRPr="00B96EAD">
        <w:rPr>
          <w:spacing w:val="2"/>
        </w:rPr>
        <w:t xml:space="preserve"> children diagnosed with CSOM had the highest levels of hearing loss at 83%.  Over 60% of these children have bilateral hearing loss.</w:t>
      </w:r>
      <w:r w:rsidR="009B5648" w:rsidRPr="00B96EAD">
        <w:rPr>
          <w:spacing w:val="2"/>
        </w:rPr>
        <w:fldChar w:fldCharType="begin"/>
      </w:r>
      <w:r w:rsidRPr="00B96EAD">
        <w:rPr>
          <w:spacing w:val="2"/>
        </w:rPr>
        <w:instrText xml:space="preserve"> ADDIN REFMGR.CITE &lt;Refman&gt;&lt;Cite&gt;&lt;Author&gt;Australian Institute of Health and Welfare&lt;/Author&gt;&lt;Year&gt;2011&lt;/Year&gt;&lt;RecNum&gt;3749&lt;/RecNum&gt;&lt;IDText&gt;Ear and hearing health of Indigenous children in the Northern Territory. Cat. no. IHW 60.&lt;/IDText&gt;&lt;MDL Ref_Type="Book, Whole"&gt;&lt;Ref_Type&gt;Book, Whole&lt;/Ref_Type&gt;&lt;Ref_ID&gt;3749&lt;/Ref_ID&gt;&lt;Title_Primary&gt;Ear and hearing health of Indigenous children in the Northern Territory. Cat. no. IHW 60.&lt;/Title_Primary&gt;&lt;Authors_Primary&gt;Australian Institute of Health and Welfare&lt;/Authors_Primary&gt;&lt;Date_Primary&gt;2011&lt;/Date_Primary&gt;&lt;Keywords&gt;Ear&lt;/Keywords&gt;&lt;Keywords&gt;Hearing&lt;/Keywords&gt;&lt;Keywords&gt;Health&lt;/Keywords&gt;&lt;Keywords&gt;indigenous&lt;/Keywords&gt;&lt;Keywords&gt;Northern Territory&lt;/Keywords&gt;&lt;Reprint&gt;Not in File&lt;/Reprint&gt;&lt;Pub_Place&gt;Canberra&lt;/Pub_Place&gt;&lt;Publisher&gt;Australian Government&lt;/Publisher&gt;&lt;Web_URL&gt;&lt;u&gt;http://www.aihw.gov.au/WorkArea/DownloadAsset.aspx?id=10737420428 &lt;/u&gt;&lt;/Web_URL&gt;&lt;ZZ_WorkformID&gt;2&lt;/ZZ_WorkformID&gt;&lt;/MDL&gt;&lt;/Cite&gt;&lt;/Refman&gt;</w:instrText>
      </w:r>
      <w:r w:rsidR="009B5648" w:rsidRPr="00B96EAD">
        <w:rPr>
          <w:spacing w:val="2"/>
        </w:rPr>
        <w:fldChar w:fldCharType="separate"/>
      </w:r>
      <w:r w:rsidRPr="00B96EAD">
        <w:rPr>
          <w:spacing w:val="2"/>
          <w:vertAlign w:val="superscript"/>
        </w:rPr>
        <w:t>6</w:t>
      </w:r>
      <w:r w:rsidR="009B5648" w:rsidRPr="00B96EAD">
        <w:rPr>
          <w:spacing w:val="2"/>
        </w:rPr>
        <w:fldChar w:fldCharType="end"/>
      </w:r>
      <w:r w:rsidRPr="00B96EAD">
        <w:rPr>
          <w:spacing w:val="2"/>
        </w:rPr>
        <w:t xml:space="preserve"> </w:t>
      </w:r>
      <w:r w:rsidRPr="00B96EAD">
        <w:rPr>
          <w:iCs/>
        </w:rPr>
        <w:t>While effective timely treatment of acute otitis media with perforation (</w:t>
      </w:r>
      <w:proofErr w:type="spellStart"/>
      <w:r w:rsidRPr="00B96EAD">
        <w:rPr>
          <w:iCs/>
        </w:rPr>
        <w:t>AOMwiP</w:t>
      </w:r>
      <w:proofErr w:type="spellEnd"/>
      <w:r w:rsidRPr="00B96EAD">
        <w:rPr>
          <w:iCs/>
        </w:rPr>
        <w:t>) aims to prevent CSOM, the challenges involved in delivering appropriate treatment in remote settings mean that a large group of children develop chronic severe ear disease.</w:t>
      </w:r>
      <w:r w:rsidR="009B5648" w:rsidRPr="00B96EAD">
        <w:rPr>
          <w:iCs/>
        </w:rPr>
        <w:fldChar w:fldCharType="begin"/>
      </w:r>
      <w:r w:rsidRPr="00B96EAD">
        <w:rPr>
          <w:iCs/>
        </w:rPr>
        <w:instrText xml:space="preserve"> ADDIN REFMGR.CITE &lt;Refman&gt;&lt;Cite&gt;&lt;Author&gt;Morris&lt;/Author&gt;&lt;Year&gt;2007&lt;/Year&gt;&lt;RecNum&gt;3525&lt;/RecNum&gt;&lt;IDText&gt;An overview of acute otitis media in Australian Aboriginal children living in remote communities&lt;/IDText&gt;&lt;MDL Ref_Type="Journal"&gt;&lt;Ref_Type&gt;Journal&lt;/Ref_Type&gt;&lt;Ref_ID&gt;3525&lt;/Ref_ID&gt;&lt;Title_Primary&gt;An overview of acute otitis media in Australian Aboriginal children living in remote communities&lt;/Title_Primary&gt;&lt;Authors_Primary&gt;Morris,P.S.&lt;/Authors_Primary&gt;&lt;Authors_Primary&gt;Leach,A.J.&lt;/Authors_Primary&gt;&lt;Authors_Primary&gt;Halpin,S.&lt;/Authors_Primary&gt;&lt;Authors_Primary&gt;Mellon,G.&lt;/Authors_Primary&gt;&lt;Authors_Primary&gt;Gadil,G.&lt;/Authors_Primary&gt;&lt;Authors_Primary&gt;Wigger,C.&lt;/Authors_Primary&gt;&lt;Authors_Primary&gt;Mackenzie,G.&lt;/Authors_Primary&gt;&lt;Authors_Primary&gt;Wilson,C.&lt;/Authors_Primary&gt;&lt;Authors_Primary&gt;Gadil,E.&lt;/Authors_Primary&gt;&lt;Authors_Primary&gt;Torzillo,P.&lt;/Authors_Primary&gt;&lt;Date_Primary&gt;2007/3/22&lt;/Date_Primary&gt;&lt;Keywords&gt;Aboriginal&lt;/Keywords&gt;&lt;Keywords&gt;Australia&lt;/Keywords&gt;&lt;Keywords&gt;Child,Preschool&lt;/Keywords&gt;&lt;Keywords&gt;diagnosis&lt;/Keywords&gt;&lt;Keywords&gt;Disease&lt;/Keywords&gt;&lt;Keywords&gt;Ear&lt;/Keywords&gt;&lt;Keywords&gt;epidemiology&lt;/Keywords&gt;&lt;Keywords&gt;ethnology&lt;/Keywords&gt;&lt;Keywords&gt;Family&lt;/Keywords&gt;&lt;Keywords&gt;Female&lt;/Keywords&gt;&lt;Keywords&gt;Guideline Adherence&lt;/Keywords&gt;&lt;Keywords&gt;Guidelines&lt;/Keywords&gt;&lt;Keywords&gt;Health&lt;/Keywords&gt;&lt;Keywords&gt;Humans&lt;/Keywords&gt;&lt;Keywords&gt;Infant&lt;/Keywords&gt;&lt;Keywords&gt;Infection&lt;/Keywords&gt;&lt;Keywords&gt;Male&lt;/Keywords&gt;&lt;Keywords&gt;Northern Territory&lt;/Keywords&gt;&lt;Keywords&gt;Oceanic Ancestry Group&lt;/Keywords&gt;&lt;Keywords&gt;otitis&lt;/Keywords&gt;&lt;Keywords&gt;otitis media&lt;/Keywords&gt;&lt;Keywords&gt;Otitis Media,Suppurative&lt;/Keywords&gt;&lt;Keywords&gt;overview&lt;/Keywords&gt;&lt;Keywords&gt;Pediatrics&lt;/Keywords&gt;&lt;Keywords&gt;Physicians&lt;/Keywords&gt;&lt;Keywords&gt;Pneumococcal Vaccines&lt;/Keywords&gt;&lt;Keywords&gt;Research&lt;/Keywords&gt;&lt;Keywords&gt;Risk&lt;/Keywords&gt;&lt;Keywords&gt;Rural Population&lt;/Keywords&gt;&lt;Keywords&gt;therapeutic use&lt;/Keywords&gt;&lt;Keywords&gt;therapy&lt;/Keywords&gt;&lt;Keywords&gt;Tympanic Membrane&lt;/Keywords&gt;&lt;Keywords&gt;Tympanic Membrane Perforation&lt;/Keywords&gt;&lt;Keywords&gt;Vaccines&lt;/Keywords&gt;&lt;Reprint&gt;Not in File&lt;/Reprint&gt;&lt;Start_Page&gt;2389&lt;/Start_Page&gt;&lt;End_Page&gt;2393&lt;/End_Page&gt;&lt;Periodical&gt;Vaccine&lt;/Periodical&gt;&lt;Volume&gt;25&lt;/Volume&gt;&lt;Issue&gt;13&lt;/Issue&gt;&lt;Address&gt;Menzies School of Health Research, Darwin, Northern Territory, Australia. peterm@menzies.edu.au&lt;/Address&gt;&lt;Web_URL&gt;PM:17030497&lt;/Web_URL&gt;&lt;ZZ_JournalStdAbbrev&gt;&lt;f name="System"&gt;Vaccine&lt;/f&gt;&lt;/ZZ_JournalStdAbbrev&gt;&lt;ZZ_WorkformID&gt;1&lt;/ZZ_WorkformID&gt;&lt;/MDL&gt;&lt;/Cite&gt;&lt;/Refman&gt;</w:instrText>
      </w:r>
      <w:r w:rsidR="009B5648" w:rsidRPr="00B96EAD">
        <w:rPr>
          <w:iCs/>
        </w:rPr>
        <w:fldChar w:fldCharType="separate"/>
      </w:r>
      <w:r w:rsidRPr="00B96EAD">
        <w:rPr>
          <w:iCs/>
          <w:vertAlign w:val="superscript"/>
        </w:rPr>
        <w:t>7</w:t>
      </w:r>
      <w:r w:rsidR="009B5648" w:rsidRPr="00B96EAD">
        <w:rPr>
          <w:iCs/>
        </w:rPr>
        <w:fldChar w:fldCharType="end"/>
      </w:r>
    </w:p>
    <w:p w:rsidR="00BA6265" w:rsidRPr="00B96EAD" w:rsidRDefault="00BA6265" w:rsidP="00501410">
      <w:pPr>
        <w:spacing w:after="120"/>
      </w:pPr>
      <w:r w:rsidRPr="00B96EAD">
        <w:t xml:space="preserve">Chronic </w:t>
      </w:r>
      <w:proofErr w:type="spellStart"/>
      <w:r w:rsidRPr="00B96EAD">
        <w:t>suppurative</w:t>
      </w:r>
      <w:proofErr w:type="spellEnd"/>
      <w:r w:rsidRPr="00B96EAD">
        <w:t xml:space="preserve"> otitis media (CSOM) is the most disabling ear disease affecting Aboriginal Australians.</w:t>
      </w:r>
      <w:r w:rsidR="009B5648" w:rsidRPr="00B96EAD">
        <w:fldChar w:fldCharType="begin"/>
      </w:r>
      <w:r w:rsidRPr="00B96EAD">
        <w:instrText xml:space="preserve"> ADDIN REFMGR.CITE &lt;Refman&gt;&lt;Cite&gt;&lt;Author&gt;Morris&lt;/Author&gt;&lt;Year&gt;1998&lt;/Year&gt;&lt;RecNum&gt;14&lt;/RecNum&gt;&lt;IDText&gt;Management of otitis media in a high risk population.&lt;/IDText&gt;&lt;MDL Ref_Type="Journal"&gt;&lt;Ref_Type&gt;Journal&lt;/Ref_Type&gt;&lt;Ref_ID&gt;14&lt;/Ref_ID&gt;&lt;Title_Primary&gt;Management of otitis media in a high risk population.&lt;/Title_Primary&gt;&lt;Authors_Primary&gt;Morris,P.S.&lt;/Authors_Primary&gt;&lt;Date_Primary&gt;1998&lt;/Date_Primary&gt;&lt;Keywords&gt;otitis media&lt;/Keywords&gt;&lt;Keywords&gt;Aborigines&lt;/Keywords&gt;&lt;Reprint&gt;In File&lt;/Reprint&gt;&lt;Start_Page&gt;1021&lt;/Start_Page&gt;&lt;End_Page&gt;1029&lt;/End_Page&gt;&lt;Periodical&gt;Australian Family Physician&lt;/Periodical&gt;&lt;Volume&gt;27&lt;/Volume&gt;&lt;ZZ_JournalFull&gt;&lt;f name="System"&gt;Australian Family Physician&lt;/f&gt;&lt;/ZZ_JournalFull&gt;&lt;ZZ_WorkformID&gt;1&lt;/ZZ_WorkformID&gt;&lt;/MDL&gt;&lt;/Cite&gt;&lt;/Refman&gt;</w:instrText>
      </w:r>
      <w:r w:rsidR="009B5648" w:rsidRPr="00B96EAD">
        <w:fldChar w:fldCharType="separate"/>
      </w:r>
      <w:r w:rsidRPr="00B96EAD">
        <w:rPr>
          <w:vertAlign w:val="superscript"/>
        </w:rPr>
        <w:t>8</w:t>
      </w:r>
      <w:r w:rsidR="009B5648" w:rsidRPr="00B96EAD">
        <w:fldChar w:fldCharType="end"/>
      </w:r>
      <w:r w:rsidRPr="00B96EAD">
        <w:t xml:space="preserve"> Children with pus draining from their ears are common in rural and remote communities. The early age of onset, the severity of the hearing loss, and the persistence of this infection, mean that improving medical management for this condition is a priority. Once CSOM has become established, it is extremely difficult to treat.  While topical antibiotics have been shown to be more effective than oral antibiotics and topical antiseptics, it is unclear whether there are any benefits of combining these treatments.</w:t>
      </w:r>
      <w:r w:rsidR="009B5648" w:rsidRPr="00B96EAD">
        <w:fldChar w:fldCharType="begin"/>
      </w:r>
      <w:r w:rsidRPr="00B96EAD">
        <w:instrText xml:space="preserve"> ADDIN REFMGR.CITE &lt;Refman&gt;&lt;Cite&gt;&lt;Author&gt;Macfadyen&lt;/Author&gt;&lt;Year&gt;2006&lt;/Year&gt;&lt;RecNum&gt;3336&lt;/RecNum&gt;&lt;IDText&gt;Systemic antibiotics versus topical treatments for chronically discharging ears with underlying eardrum perforations&lt;/IDText&gt;&lt;MDL Ref_Type="Journal"&gt;&lt;Ref_Type&gt;Journal&lt;/Ref_Type&gt;&lt;Ref_ID&gt;3336&lt;/Ref_ID&gt;&lt;Title_Primary&gt;Systemic antibiotics versus topical treatments for chronically discharging ears with underlying eardrum perforations&lt;/Title_Primary&gt;&lt;Authors_Primary&gt;Macfadyen,C.A.&lt;/Authors_Primary&gt;&lt;Authors_Primary&gt;Acuin,J.M.&lt;/Authors_Primary&gt;&lt;Authors_Primary&gt;Gamble,C.&lt;/Authors_Primary&gt;&lt;Date_Primary&gt;2006&lt;/Date_Primary&gt;&lt;Keywords&gt;administration &amp;amp; dosage&lt;/Keywords&gt;&lt;Keywords&gt;Administration,Oral&lt;/Keywords&gt;&lt;Keywords&gt;Administration,Topical&lt;/Keywords&gt;&lt;Keywords&gt;analysis&lt;/Keywords&gt;&lt;Keywords&gt;Anti-Bacterial Agents&lt;/Keywords&gt;&lt;Keywords&gt;antibiotic&lt;/Keywords&gt;&lt;Keywords&gt;antibiotics&lt;/Keywords&gt;&lt;Keywords&gt;Chloramphenicol&lt;/Keywords&gt;&lt;Keywords&gt;Chronic Disease&lt;/Keywords&gt;&lt;Keywords&gt;Cochrane&lt;/Keywords&gt;&lt;Keywords&gt;complications&lt;/Keywords&gt;&lt;Keywords&gt;controlled trial&lt;/Keywords&gt;&lt;Keywords&gt;controlled trials&lt;/Keywords&gt;&lt;Keywords&gt;Data Collection&lt;/Keywords&gt;&lt;Keywords&gt;Disease&lt;/Keywords&gt;&lt;Keywords&gt;drug therapy&lt;/Keywords&gt;&lt;Keywords&gt;Ear&lt;/Keywords&gt;&lt;Keywords&gt;Hair&lt;/Keywords&gt;&lt;Keywords&gt;Health&lt;/Keywords&gt;&lt;Keywords&gt;Hearing&lt;/Keywords&gt;&lt;Keywords&gt;Humans&lt;/Keywords&gt;&lt;Keywords&gt;Infection&lt;/Keywords&gt;&lt;Keywords&gt;Mastoid&lt;/Keywords&gt;&lt;Keywords&gt;Medicine&lt;/Keywords&gt;&lt;Keywords&gt;medline&lt;/Keywords&gt;&lt;Keywords&gt;Meta Analysis&lt;/Keywords&gt;&lt;Keywords&gt;meta-analysis&lt;/Keywords&gt;&lt;Keywords&gt;metaanalysis&lt;/Keywords&gt;&lt;Keywords&gt;otitis&lt;/Keywords&gt;&lt;Keywords&gt;otitis media&lt;/Keywords&gt;&lt;Keywords&gt;Otitis Media,Suppurative&lt;/Keywords&gt;&lt;Keywords&gt;Quinolones&lt;/Keywords&gt;&lt;Keywords&gt;randomised controlled trial&lt;/Keywords&gt;&lt;Keywords&gt;randomised controlled trials&lt;/Keywords&gt;&lt;Keywords&gt;Randomized Controlled Trials as Topic&lt;/Keywords&gt;&lt;Keywords&gt;relative risk&lt;/Keywords&gt;&lt;Keywords&gt;relative risks&lt;/Keywords&gt;&lt;Keywords&gt;Research&lt;/Keywords&gt;&lt;Keywords&gt;Risk&lt;/Keywords&gt;&lt;Keywords&gt;Safety&lt;/Keywords&gt;&lt;Keywords&gt;Steroids&lt;/Keywords&gt;&lt;Keywords&gt;Tropical Medicine&lt;/Keywords&gt;&lt;Keywords&gt;Tympanic Membrane Perforation&lt;/Keywords&gt;&lt;Reprint&gt;Not in File&lt;/Reprint&gt;&lt;Start_Page&gt;CD005608&lt;/Start_Page&gt;&lt;Periodical&gt;Cochrane.Database.Syst.Rev.&lt;/Periodical&gt;&lt;Issue&gt;1&lt;/Issue&gt;&lt;Address&gt;Liverpool School of Tropical Medicine, International Health Research Group, Pembroke Place, Liverpool, UK, L3 5QA. carolynm@liv.ac.uk&lt;/Address&gt;&lt;Web_URL&gt;PM:16437533&lt;/Web_URL&gt;&lt;ZZ_JournalStdAbbrev&gt;&lt;f name="System"&gt;Cochrane.Database.Syst.Rev.&lt;/f&gt;&lt;/ZZ_JournalStdAbbrev&gt;&lt;ZZ_WorkformID&gt;1&lt;/ZZ_WorkformID&gt;&lt;/MDL&gt;&lt;/Cite&gt;&lt;Cite&gt;&lt;Author&gt;Morris&lt;/Author&gt;&lt;Year&gt;2012&lt;/Year&gt;&lt;RecNum&gt;3836&lt;/RecNum&gt;&lt;IDText&gt;Chronic Suppurative Otitis Media&lt;/IDText&gt;&lt;MDL Ref_Type="Journal"&gt;&lt;Ref_Type&gt;Journal&lt;/Ref_Type&gt;&lt;Ref_ID&gt;3836&lt;/Ref_ID&gt;&lt;Title_Primary&gt;Chronic Suppurative Otitis Media&lt;/Title_Primary&gt;&lt;Authors_Primary&gt;Morris,P.&lt;/Authors_Primary&gt;&lt;Date_Primary&gt;2012&lt;/Date_Primary&gt;&lt;Keywords&gt;otitis&lt;/Keywords&gt;&lt;Keywords&gt;otitis media&lt;/Keywords&gt;&lt;Reprint&gt;Not in File&lt;/Reprint&gt;&lt;Periodical&gt;Clinical Evidence [Online] URL- http//www.clinicalevidence.com/&lt;/Periodical&gt;&lt;Pub_Place&gt;London, UK&lt;/Pub_Place&gt;&lt;Publisher&gt;BMJ Publishing&lt;/Publisher&gt;&lt;Web_URL&gt;http//www.clinicalevidence.com/&lt;/Web_URL&gt;&lt;ZZ_JournalStdAbbrev&gt;&lt;f name="System"&gt;Clinical Evidence [Online] URL- http//www.clinicalevidence.com/&lt;/f&gt;&lt;/ZZ_JournalStdAbbrev&gt;&lt;ZZ_WorkformID&gt;1&lt;/ZZ_WorkformID&gt;&lt;/MDL&gt;&lt;/Cite&gt;&lt;/Refman&gt;</w:instrText>
      </w:r>
      <w:r w:rsidR="009B5648" w:rsidRPr="00B96EAD">
        <w:fldChar w:fldCharType="separate"/>
      </w:r>
      <w:r w:rsidRPr="00B96EAD">
        <w:rPr>
          <w:vertAlign w:val="superscript"/>
        </w:rPr>
        <w:t>9, 10</w:t>
      </w:r>
      <w:r w:rsidR="009B5648" w:rsidRPr="00B96EAD">
        <w:fldChar w:fldCharType="end"/>
      </w:r>
      <w:r w:rsidRPr="00B96EAD">
        <w:t xml:space="preserve">  Other treatment options, such as prolonged antibiotic intravenous treatment in hospital</w:t>
      </w:r>
      <w:r w:rsidR="009B5648" w:rsidRPr="00B96EAD">
        <w:fldChar w:fldCharType="begin"/>
      </w:r>
      <w:r w:rsidRPr="00B96EAD">
        <w:instrText xml:space="preserve"> ADDIN REFMGR.CITE &lt;Refman&gt;&lt;Cite&gt;&lt;Author&gt;Fliss&lt;/Author&gt;&lt;Year&gt;1990&lt;/Year&gt;&lt;RecNum&gt;945&lt;/RecNum&gt;&lt;IDText&gt;Medical management of chronic suppurative otitis media without cholesteatoma in children [see comments]&lt;/IDText&gt;&lt;MDL Ref_Type="Journal"&gt;&lt;Ref_Type&gt;Journal&lt;/Ref_Type&gt;&lt;Ref_ID&gt;945&lt;/Ref_ID&gt;&lt;Title_Primary&gt;Medical management of chronic suppurative otitis media without cholesteatoma in children [see comments]&lt;/Title_Primary&gt;&lt;Authors_Primary&gt;Fliss,D.M.&lt;/Authors_Primary&gt;&lt;Authors_Primary&gt;Dagan,R.&lt;/Authors_Primary&gt;&lt;Authors_Primary&gt;Houri,Z.&lt;/Authors_Primary&gt;&lt;Authors_Primary&gt;Leiberman,A.&lt;/Authors_Primary&gt;&lt;Date_Primary&gt;1990/6&lt;/Date_Primary&gt;&lt;Keywords&gt;Adolescence&lt;/Keywords&gt;&lt;Keywords&gt;Amoxicillin therapeutic use&lt;/Keywords&gt;&lt;Keywords&gt;Ceftazidime administration and dosage&lt;/Keywords&gt;&lt;Keywords&gt;Ceftazidime therapeutic use&lt;/Keywords&gt;&lt;Keywords&gt;Child&lt;/Keywords&gt;&lt;Keywords&gt;Child,Preschool&lt;/Keywords&gt;&lt;Keywords&gt;Cholesteatoma&lt;/Keywords&gt;&lt;Keywords&gt;Chronic Disease&lt;/Keywords&gt;&lt;Keywords&gt;Debridement&lt;/Keywords&gt;&lt;Keywords&gt;Ear Diseases&lt;/Keywords&gt;&lt;Keywords&gt;Infant&lt;/Keywords&gt;&lt;Keywords&gt;Injections,Intravenous&lt;/Keywords&gt;&lt;Keywords&gt;Mezlocillin administration and dosage&lt;/Keywords&gt;&lt;Keywords&gt;Mezlocillin therapeutic use&lt;/Keywords&gt;&lt;Keywords&gt;Prospective Studies&lt;/Keywords&gt;&lt;Keywords&gt;Pseudomonas Infections drug therapy&lt;/Keywords&gt;&lt;Keywords&gt;Random Allocation&lt;/Keywords&gt;&lt;Keywords&gt;Recurrence&lt;/Keywords&gt;&lt;Keywords&gt;Suction&lt;/Keywords&gt;&lt;Keywords&gt;Otitis Media drug therapy&lt;/Keywords&gt;&lt;Keywords&gt;Otitis Media,Suppurative drug therapy&lt;/Keywords&gt;&lt;Keywords&gt;Comparative Study&lt;/Keywords&gt;&lt;Keywords&gt;Female&lt;/Keywords&gt;&lt;Keywords&gt;Human&lt;/Keywords&gt;&lt;Keywords&gt;Male&lt;/Keywords&gt;&lt;Keywords&gt;otitis&lt;/Keywords&gt;&lt;Keywords&gt;otitis media&lt;/Keywords&gt;&lt;Keywords&gt;antibiotics&lt;/Keywords&gt;&lt;Keywords&gt;surgery&lt;/Keywords&gt;&lt;Keywords&gt;Patients&lt;/Keywords&gt;&lt;Keywords&gt;Disease&lt;/Keywords&gt;&lt;Keywords&gt;Culture&lt;/Keywords&gt;&lt;Keywords&gt;Pseudomonas aeruginosa&lt;/Keywords&gt;&lt;Keywords&gt;Haemophilus&lt;/Keywords&gt;&lt;Keywords&gt;Haemophilus influenzae&lt;/Keywords&gt;&lt;Keywords&gt;Amoxicillin&lt;/Keywords&gt;&lt;Keywords&gt;therapy&lt;/Keywords&gt;&lt;Keywords&gt;Drainage&lt;/Keywords&gt;&lt;Reprint&gt;In File&lt;/Reprint&gt;&lt;Start_Page&gt;991&lt;/Start_Page&gt;&lt;End_Page&gt;996&lt;/End_Page&gt;&lt;Periodical&gt;J.Pediatr&lt;/Periodical&gt;&lt;Volume&gt;116&lt;/Volume&gt;&lt;Issue&gt;6&lt;/Issue&gt;&lt;ZZ_JournalStdAbbrev&gt;&lt;f name="System"&gt;J.Pediatr&lt;/f&gt;&lt;/ZZ_JournalStdAbbrev&gt;&lt;ZZ_WorkformID&gt;1&lt;/ZZ_WorkformID&gt;&lt;/MDL&gt;&lt;/Cite&gt;&lt;Cite&gt;&lt;Author&gt;Kenna&lt;/Author&gt;&lt;Year&gt;1994&lt;/Year&gt;&lt;RecNum&gt;1568&lt;/RecNum&gt;&lt;IDText&gt;Treatment of chronic suppurative otitis media.&lt;/IDText&gt;&lt;MDL Ref_Type="Journal"&gt;&lt;Ref_Type&gt;Journal&lt;/Ref_Type&gt;&lt;Ref_ID&gt;1568&lt;/Ref_ID&gt;&lt;Title_Primary&gt;Treatment of chronic suppurative otitis media.&lt;/Title_Primary&gt;&lt;Authors_Primary&gt;Kenna,M.A.&lt;/Authors_Primary&gt;&lt;Date_Primary&gt;1994/6&lt;/Date_Primary&gt;&lt;Keywords&gt;Child&lt;/Keywords&gt;&lt;Keywords&gt;Chronic Disease&lt;/Keywords&gt;&lt;Keywords&gt;Otitis Media,Suppurative diagnosis&lt;/Keywords&gt;&lt;Keywords&gt;Otitis Media,Suppurative drug therapy&lt;/Keywords&gt;&lt;Keywords&gt;Otitis Media,Suppurative microbiology&lt;/Keywords&gt;&lt;Keywords&gt;Otitis Media,Suppurative surgery&lt;/Keywords&gt;&lt;Keywords&gt;Pseudomonas Infections&lt;/Keywords&gt;&lt;Keywords&gt;Otitis Media,Suppurative therapy&lt;/Keywords&gt;&lt;Keywords&gt;Human&lt;/Keywords&gt;&lt;Keywords&gt;otitis&lt;/Keywords&gt;&lt;Keywords&gt;otitis media&lt;/Keywords&gt;&lt;Keywords&gt;Disease&lt;/Keywords&gt;&lt;Keywords&gt;Tympanic Membrane&lt;/Keywords&gt;&lt;Keywords&gt;Tympanic Membrane Perforation&lt;/Keywords&gt;&lt;Keywords&gt;etiology&lt;/Keywords&gt;&lt;Keywords&gt;Pseudomonas aeruginosa&lt;/Keywords&gt;&lt;Reprint&gt;In File&lt;/Reprint&gt;&lt;Start_Page&gt;457&lt;/Start_Page&gt;&lt;End_Page&gt;472&lt;/End_Page&gt;&lt;Periodical&gt;Otolaryngol Clin North Am.&lt;/Periodical&gt;&lt;Volume&gt;27&lt;/Volume&gt;&lt;Issue&gt;3&lt;/Issue&gt;&lt;ZZ_JournalStdAbbrev&gt;&lt;f name="System"&gt;Otolaryngol Clin North Am.&lt;/f&gt;&lt;/ZZ_JournalStdAbbrev&gt;&lt;ZZ_WorkformID&gt;1&lt;/ZZ_WorkformID&gt;&lt;/MDL&gt;&lt;/Cite&gt;&lt;/Refman&gt;</w:instrText>
      </w:r>
      <w:r w:rsidR="009B5648" w:rsidRPr="00B96EAD">
        <w:fldChar w:fldCharType="separate"/>
      </w:r>
      <w:r w:rsidRPr="00B96EAD">
        <w:rPr>
          <w:vertAlign w:val="superscript"/>
        </w:rPr>
        <w:t>11, 12</w:t>
      </w:r>
      <w:r w:rsidR="009B5648" w:rsidRPr="00B96EAD">
        <w:fldChar w:fldCharType="end"/>
      </w:r>
      <w:r w:rsidRPr="00B96EAD">
        <w:t xml:space="preserve"> or partial </w:t>
      </w:r>
      <w:proofErr w:type="spellStart"/>
      <w:r w:rsidRPr="00B96EAD">
        <w:t>mastoidectomy</w:t>
      </w:r>
      <w:proofErr w:type="spellEnd"/>
      <w:r w:rsidRPr="00B96EAD">
        <w:t xml:space="preserve"> have not been used (or accepted) in the management of children from remote Aboriginal communities.  </w:t>
      </w:r>
    </w:p>
    <w:p w:rsidR="00BA6265" w:rsidRPr="00B96EAD" w:rsidRDefault="00BA6265" w:rsidP="001F40CA">
      <w:r w:rsidRPr="00B96EAD">
        <w:t>The recent clinical care guidelines for the management of otitis media, distributed by the Office of Aboriginal and Torres Strait Islander Health, (the ‘OATSIH Guidelines’) used a transparent and comprehensive search strategy to identify all high quality treatment studies.</w:t>
      </w:r>
      <w:r w:rsidR="009B5648" w:rsidRPr="00B96EAD">
        <w:fldChar w:fldCharType="begin"/>
      </w:r>
      <w:r w:rsidRPr="00B96EAD">
        <w:instrText xml:space="preserve"> ADDIN REFMGR.CITE &lt;Refman&gt;&lt;Cite&gt;&lt;Author&gt;Morris&lt;/Author&gt;&lt;Year&gt;2011&lt;/Year&gt;&lt;RecNum&gt;3750&lt;/RecNum&gt;&lt;IDText&gt;Recommendations for Clinical Care Guidelines on the Management of Otitis Media in Aboriginal and Torres Strait Islander Populations (Updated 2010)&lt;/IDText&gt;&lt;MDL Ref_Type="Book, Whole"&gt;&lt;Ref_Type&gt;Book, Whole&lt;/Ref_Type&gt;&lt;Ref_ID&gt;3750&lt;/Ref_ID&gt;&lt;Title_Primary&gt;Recommendations for Clinical Care Guidelines on the Management of Otitis Media in Aboriginal and Torres Strait Islander Populations (Updated 2010)&lt;/Title_Primary&gt;&lt;Authors_Primary&gt;Morris,P&lt;/Authors_Primary&gt;&lt;Authors_Primary&gt;Leach,A&lt;/Authors_Primary&gt;&lt;Authors_Primary&gt;Shah,P&lt;/Authors_Primary&gt;&lt;Authors_Primary&gt;Nelson,S&lt;/Authors_Primary&gt;&lt;Authors_Primary&gt;Ananf,A&lt;/Authors_Primary&gt;&lt;Authors_Primary&gt;Daby,J&lt;/Authors_Primary&gt;&lt;Authors_Primary&gt;Allnutt,R&lt;/Authors_Primary&gt;&lt;Authors_Primary&gt;Bainbridge,D&lt;/Authors_Primary&gt;&lt;Authors_Primary&gt;Edwards,K&lt;/Authors_Primary&gt;&lt;Authors_Primary&gt;Patel,H&lt;/Authors_Primary&gt;&lt;Authors_Primary&gt;Torzillo,P&lt;/Authors_Primary&gt;&lt;Authors_Primary&gt;Boswell,J&lt;/Authors_Primary&gt;&lt;Authors_Primary&gt;Gunasekera,H&lt;/Authors_Primary&gt;&lt;Authors_Primary&gt;Currie,K&lt;/Authors_Primary&gt;&lt;Authors_Primary&gt;Harkus,S&lt;/Authors_Primary&gt;&lt;Authors_Primary&gt;Lehmann,D&lt;/Authors_Primary&gt;&lt;Authors_Primary&gt;Kong,K&lt;/Authors_Primary&gt;&lt;Authors_Primary&gt;Coates,H&lt;/Authors_Primary&gt;&lt;Authors_Primary&gt;O&amp;apos;Leary,S&lt;/Authors_Primary&gt;&lt;Authors_Primary&gt;Isaacs,D&lt;/Authors_Primary&gt;&lt;Authors_Primary&gt;Perry,C&lt;/Authors_Primary&gt;&lt;Date_Primary&gt;2011&lt;/Date_Primary&gt;&lt;Keywords&gt;Aboriginal&lt;/Keywords&gt;&lt;Keywords&gt;Guidelines&lt;/Keywords&gt;&lt;Keywords&gt;otitis&lt;/Keywords&gt;&lt;Keywords&gt;otitis media&lt;/Keywords&gt;&lt;Keywords&gt;Population&lt;/Keywords&gt;&lt;Reprint&gt;Not in File&lt;/Reprint&gt;&lt;Pub_Place&gt;Canberra&lt;/Pub_Place&gt;&lt;Publisher&gt;Commonwealth of Australia&lt;/Publisher&gt;&lt;Web_URL&gt;&lt;u&gt;http://www.health.gov.au/internet/main/publishing.nsf/Content/health-oatsih-pubs-omp.htm &lt;/u&gt;&lt;/Web_URL&gt;&lt;ZZ_WorkformID&gt;2&lt;/ZZ_WorkformID&gt;&lt;/MDL&gt;&lt;/Cite&gt;&lt;/Refman&gt;</w:instrText>
      </w:r>
      <w:r w:rsidR="009B5648" w:rsidRPr="00B96EAD">
        <w:fldChar w:fldCharType="separate"/>
      </w:r>
      <w:r w:rsidRPr="00B96EAD">
        <w:rPr>
          <w:vertAlign w:val="superscript"/>
        </w:rPr>
        <w:t>13</w:t>
      </w:r>
      <w:r w:rsidR="009B5648" w:rsidRPr="00B96EAD">
        <w:fldChar w:fldCharType="end"/>
      </w:r>
      <w:r>
        <w:t xml:space="preserve"> </w:t>
      </w:r>
      <w:r w:rsidRPr="00B96EAD">
        <w:t xml:space="preserve">An expert writing group (Darwin Otitis Guidelines Group) and advisory group (Technical Advisory Group) used this evidence to inform all recommendations.  Although there is a considerable amount of published high quality research on otitis media, most of the treatment recommendations were still limited by the lack </w:t>
      </w:r>
      <w:r w:rsidRPr="00B96EAD">
        <w:lastRenderedPageBreak/>
        <w:t>of relevant randomised controlled trials (RCTs).  Importantly, the guidelines emphasised the need for more effective strategies for managing CSOM where the lack of appropriately designed RCTs was most evident.</w:t>
      </w:r>
      <w:r w:rsidR="009B5648" w:rsidRPr="00B96EAD">
        <w:fldChar w:fldCharType="begin"/>
      </w:r>
      <w:r w:rsidRPr="00B96EAD">
        <w:instrText xml:space="preserve"> ADDIN REFMGR.CITE &lt;Refman&gt;&lt;Cite&gt;&lt;Author&gt;Morris&lt;/Author&gt;&lt;Year&gt;2011&lt;/Year&gt;&lt;RecNum&gt;3750&lt;/RecNum&gt;&lt;IDText&gt;Recommendations for Clinical Care Guidelines on the Management of Otitis Media in Aboriginal and Torres Strait Islander Populations (Updated 2010)&lt;/IDText&gt;&lt;MDL Ref_Type="Book, Whole"&gt;&lt;Ref_Type&gt;Book, Whole&lt;/Ref_Type&gt;&lt;Ref_ID&gt;3750&lt;/Ref_ID&gt;&lt;Title_Primary&gt;Recommendations for Clinical Care Guidelines on the Management of Otitis Media in Aboriginal and Torres Strait Islander Populations (Updated 2010)&lt;/Title_Primary&gt;&lt;Authors_Primary&gt;Morris,P&lt;/Authors_Primary&gt;&lt;Authors_Primary&gt;Leach,A&lt;/Authors_Primary&gt;&lt;Authors_Primary&gt;Shah,P&lt;/Authors_Primary&gt;&lt;Authors_Primary&gt;Nelson,S&lt;/Authors_Primary&gt;&lt;Authors_Primary&gt;Ananf,A&lt;/Authors_Primary&gt;&lt;Authors_Primary&gt;Daby,J&lt;/Authors_Primary&gt;&lt;Authors_Primary&gt;Allnutt,R&lt;/Authors_Primary&gt;&lt;Authors_Primary&gt;Bainbridge,D&lt;/Authors_Primary&gt;&lt;Authors_Primary&gt;Edwards,K&lt;/Authors_Primary&gt;&lt;Authors_Primary&gt;Patel,H&lt;/Authors_Primary&gt;&lt;Authors_Primary&gt;Torzillo,P&lt;/Authors_Primary&gt;&lt;Authors_Primary&gt;Boswell,J&lt;/Authors_Primary&gt;&lt;Authors_Primary&gt;Gunasekera,H&lt;/Authors_Primary&gt;&lt;Authors_Primary&gt;Currie,K&lt;/Authors_Primary&gt;&lt;Authors_Primary&gt;Harkus,S&lt;/Authors_Primary&gt;&lt;Authors_Primary&gt;Lehmann,D&lt;/Authors_Primary&gt;&lt;Authors_Primary&gt;Kong,K&lt;/Authors_Primary&gt;&lt;Authors_Primary&gt;Coates,H&lt;/Authors_Primary&gt;&lt;Authors_Primary&gt;O&amp;apos;Leary,S&lt;/Authors_Primary&gt;&lt;Authors_Primary&gt;Isaacs,D&lt;/Authors_Primary&gt;&lt;Authors_Primary&gt;Perry,C&lt;/Authors_Primary&gt;&lt;Date_Primary&gt;2011&lt;/Date_Primary&gt;&lt;Keywords&gt;Aboriginal&lt;/Keywords&gt;&lt;Keywords&gt;Guidelines&lt;/Keywords&gt;&lt;Keywords&gt;otitis&lt;/Keywords&gt;&lt;Keywords&gt;otitis media&lt;/Keywords&gt;&lt;Keywords&gt;Population&lt;/Keywords&gt;&lt;Reprint&gt;Not in File&lt;/Reprint&gt;&lt;Pub_Place&gt;Canberra&lt;/Pub_Place&gt;&lt;Publisher&gt;Commonwealth of Australia&lt;/Publisher&gt;&lt;Web_URL&gt;&lt;u&gt;http://www.health.gov.au/internet/main/publishing.nsf/Content/health-oatsih-pubs-omp.htm &lt;/u&gt;&lt;/Web_URL&gt;&lt;ZZ_WorkformID&gt;2&lt;/ZZ_WorkformID&gt;&lt;/MDL&gt;&lt;/Cite&gt;&lt;/Refman&gt;</w:instrText>
      </w:r>
      <w:r w:rsidR="009B5648" w:rsidRPr="00B96EAD">
        <w:fldChar w:fldCharType="separate"/>
      </w:r>
      <w:r w:rsidRPr="00B96EAD">
        <w:rPr>
          <w:vertAlign w:val="superscript"/>
        </w:rPr>
        <w:t>13</w:t>
      </w:r>
      <w:r w:rsidR="009B5648" w:rsidRPr="00B96EAD">
        <w:fldChar w:fldCharType="end"/>
      </w:r>
      <w:r w:rsidRPr="00B96EAD">
        <w:t xml:space="preserve">  This research project will address the 2 medical treatment options with most significant variation in current clinical practice.</w:t>
      </w:r>
    </w:p>
    <w:p w:rsidR="001F40CA" w:rsidRDefault="001F40CA" w:rsidP="001F40CA">
      <w:pPr>
        <w:pStyle w:val="ListParagraph"/>
      </w:pPr>
    </w:p>
    <w:p w:rsidR="001F40CA" w:rsidRPr="00B96EAD" w:rsidRDefault="001F40CA" w:rsidP="001F40CA">
      <w:pPr>
        <w:pBdr>
          <w:top w:val="single" w:sz="4" w:space="1" w:color="auto"/>
          <w:left w:val="single" w:sz="4" w:space="4" w:color="auto"/>
          <w:bottom w:val="single" w:sz="4" w:space="1" w:color="auto"/>
          <w:right w:val="single" w:sz="4" w:space="4" w:color="auto"/>
        </w:pBdr>
        <w:suppressAutoHyphens/>
        <w:rPr>
          <w:b/>
          <w:spacing w:val="-3"/>
        </w:rPr>
      </w:pPr>
      <w:r w:rsidRPr="00B96EAD">
        <w:rPr>
          <w:b/>
          <w:spacing w:val="-3"/>
        </w:rPr>
        <w:t>Summary of important background information</w:t>
      </w:r>
    </w:p>
    <w:p w:rsidR="001F40CA" w:rsidRPr="00B96EAD" w:rsidRDefault="001F40CA" w:rsidP="001F40CA">
      <w:pPr>
        <w:numPr>
          <w:ilvl w:val="0"/>
          <w:numId w:val="1"/>
        </w:numPr>
        <w:pBdr>
          <w:top w:val="single" w:sz="4" w:space="1" w:color="auto"/>
          <w:left w:val="single" w:sz="4" w:space="4" w:color="auto"/>
          <w:bottom w:val="single" w:sz="4" w:space="1" w:color="auto"/>
          <w:right w:val="single" w:sz="4" w:space="4" w:color="auto"/>
        </w:pBdr>
        <w:tabs>
          <w:tab w:val="left" w:pos="567"/>
        </w:tabs>
        <w:suppressAutoHyphens/>
        <w:spacing w:before="240"/>
        <w:ind w:left="567" w:hanging="567"/>
        <w:rPr>
          <w:bCs/>
          <w:spacing w:val="-3"/>
        </w:rPr>
      </w:pPr>
      <w:r w:rsidRPr="00B96EAD">
        <w:rPr>
          <w:bCs/>
          <w:spacing w:val="-3"/>
        </w:rPr>
        <w:t>Otitis media (OM) remains unacceptably common and severe in Aboriginal children.  In April 2009, the Federal Government committed another $58 million over 4 years to help address the very high rates of chronic ear and eye disease affecting Indigenous Australians.  This is in addition to the many millions spent on ear surgery for children identified through the NT Emergency Response.  A substantial amount of this funding has been spent on interventions of unknown effectiveness.</w:t>
      </w:r>
    </w:p>
    <w:p w:rsidR="001F40CA" w:rsidRPr="00B96EAD" w:rsidRDefault="001F40CA" w:rsidP="001F40CA">
      <w:pPr>
        <w:numPr>
          <w:ilvl w:val="0"/>
          <w:numId w:val="1"/>
        </w:numPr>
        <w:pBdr>
          <w:top w:val="single" w:sz="4" w:space="1" w:color="auto"/>
          <w:left w:val="single" w:sz="4" w:space="4" w:color="auto"/>
          <w:bottom w:val="single" w:sz="4" w:space="1" w:color="auto"/>
          <w:right w:val="single" w:sz="4" w:space="4" w:color="auto"/>
        </w:pBdr>
        <w:tabs>
          <w:tab w:val="left" w:pos="567"/>
        </w:tabs>
        <w:suppressAutoHyphens/>
        <w:spacing w:before="240"/>
        <w:ind w:left="567" w:hanging="567"/>
        <w:rPr>
          <w:bCs/>
          <w:spacing w:val="-3"/>
        </w:rPr>
      </w:pPr>
      <w:r w:rsidRPr="00B96EAD">
        <w:rPr>
          <w:bCs/>
          <w:spacing w:val="-3"/>
        </w:rPr>
        <w:t xml:space="preserve">In NT communities, </w:t>
      </w:r>
      <w:proofErr w:type="spellStart"/>
      <w:r w:rsidRPr="00B96EAD">
        <w:rPr>
          <w:bCs/>
          <w:spacing w:val="-3"/>
        </w:rPr>
        <w:t>AOMwiP</w:t>
      </w:r>
      <w:proofErr w:type="spellEnd"/>
      <w:r w:rsidRPr="00B96EAD">
        <w:rPr>
          <w:bCs/>
          <w:spacing w:val="-3"/>
        </w:rPr>
        <w:t xml:space="preserve"> frequently leads to CSOM. In some communities more than 50% of young children are affected.  The last reliable CSOM prevalence data were collected in 2001-3.</w:t>
      </w:r>
      <w:r w:rsidRPr="00B96EAD">
        <w:rPr>
          <w:bCs/>
          <w:spacing w:val="-3"/>
        </w:rPr>
        <w:fldChar w:fldCharType="begin"/>
      </w:r>
      <w:r w:rsidRPr="00B96EAD">
        <w:rPr>
          <w:bCs/>
          <w:spacing w:val="-3"/>
        </w:rPr>
        <w:instrText xml:space="preserve"> ADDIN REFMGR.CITE &lt;Refman&gt;&lt;Cite&gt;&lt;Author&gt;Morris&lt;/Author&gt;&lt;Year&gt;2005&lt;/Year&gt;&lt;RecNum&gt;3159&lt;/RecNum&gt;&lt;IDText&gt;Otitis media in young Aboriginal children from remote communities in Northern and Central Australia: a cross-sectional survey&lt;/IDText&gt;&lt;MDL Ref_Type="Journal"&gt;&lt;Ref_Type&gt;Journal&lt;/Ref_Type&gt;&lt;Ref_ID&gt;3159&lt;/Ref_ID&gt;&lt;Title_Primary&gt;Otitis media in young Aboriginal children from remote communities in Northern and Central Australia: a cross-sectional survey&lt;/Title_Primary&gt;&lt;Authors_Primary&gt;Morris,P.S.&lt;/Authors_Primary&gt;&lt;Authors_Primary&gt;Leach,A.J.&lt;/Authors_Primary&gt;&lt;Authors_Primary&gt;Silberberg,P.&lt;/Authors_Primary&gt;&lt;Authors_Primary&gt;Mellon,G.&lt;/Authors_Primary&gt;&lt;Authors_Primary&gt;Wilson,C.&lt;/Authors_Primary&gt;&lt;Authors_Primary&gt;Hamilton,E.&lt;/Authors_Primary&gt;&lt;Authors_Primary&gt;Beissbarth,J.&lt;/Authors_Primary&gt;&lt;Date_Primary&gt;2005/7&lt;/Date_Primary&gt;&lt;Keywords&gt;Aboriginal&lt;/Keywords&gt;&lt;Keywords&gt;Aged&lt;/Keywords&gt;&lt;Keywords&gt;Australia&lt;/Keywords&gt;&lt;Keywords&gt;Disease&lt;/Keywords&gt;&lt;Keywords&gt;Ear&lt;/Keywords&gt;&lt;Keywords&gt;education&lt;/Keywords&gt;&lt;Keywords&gt;Health&lt;/Keywords&gt;&lt;Keywords&gt;high risk population&lt;/Keywords&gt;&lt;Keywords&gt;methods&lt;/Keywords&gt;&lt;Keywords&gt;otitis&lt;/Keywords&gt;&lt;Keywords&gt;otitis media&lt;/Keywords&gt;&lt;Keywords&gt;Otitis Media with Effusion&lt;/Keywords&gt;&lt;Keywords&gt;otoscopy&lt;/Keywords&gt;&lt;Keywords&gt;Population&lt;/Keywords&gt;&lt;Keywords&gt;Prevalence&lt;/Keywords&gt;&lt;Keywords&gt;Research&lt;/Keywords&gt;&lt;Keywords&gt;survey&lt;/Keywords&gt;&lt;Keywords&gt;Tympanic Membrane&lt;/Keywords&gt;&lt;Reprint&gt;Not in File&lt;/Reprint&gt;&lt;Periodical&gt;BMC.Pediatr.&lt;/Periodical&gt;&lt;Volume&gt;20;5:27.&lt;/Volume&gt;&lt;ZZ_JournalStdAbbrev&gt;&lt;f name="System"&gt;BMC.Pediatr.&lt;/f&gt;&lt;/ZZ_JournalStdAbbrev&gt;&lt;ZZ_WorkformID&gt;1&lt;/ZZ_WorkformID&gt;&lt;/MDL&gt;&lt;/Cite&gt;&lt;/Refman&gt;</w:instrText>
      </w:r>
      <w:r w:rsidRPr="00B96EAD">
        <w:rPr>
          <w:bCs/>
          <w:spacing w:val="-3"/>
        </w:rPr>
        <w:fldChar w:fldCharType="separate"/>
      </w:r>
      <w:r w:rsidRPr="00B96EAD">
        <w:rPr>
          <w:bCs/>
          <w:spacing w:val="-3"/>
          <w:vertAlign w:val="superscript"/>
        </w:rPr>
        <w:t>14</w:t>
      </w:r>
      <w:r w:rsidRPr="00B96EAD">
        <w:rPr>
          <w:bCs/>
          <w:spacing w:val="-3"/>
        </w:rPr>
        <w:fldChar w:fldCharType="end"/>
      </w:r>
      <w:r w:rsidRPr="00B96EAD">
        <w:rPr>
          <w:bCs/>
          <w:spacing w:val="-3"/>
        </w:rPr>
        <w:t xml:space="preserve"> </w:t>
      </w:r>
    </w:p>
    <w:p w:rsidR="001F40CA" w:rsidRPr="00B96EAD" w:rsidRDefault="001F40CA" w:rsidP="001F40CA">
      <w:pPr>
        <w:numPr>
          <w:ilvl w:val="0"/>
          <w:numId w:val="1"/>
        </w:numPr>
        <w:pBdr>
          <w:top w:val="single" w:sz="4" w:space="1" w:color="auto"/>
          <w:left w:val="single" w:sz="4" w:space="4" w:color="auto"/>
          <w:bottom w:val="single" w:sz="4" w:space="1" w:color="auto"/>
          <w:right w:val="single" w:sz="4" w:space="4" w:color="auto"/>
        </w:pBdr>
        <w:tabs>
          <w:tab w:val="left" w:pos="567"/>
        </w:tabs>
        <w:suppressAutoHyphens/>
        <w:spacing w:before="240"/>
        <w:ind w:left="567" w:hanging="567"/>
        <w:rPr>
          <w:bCs/>
          <w:spacing w:val="-3"/>
        </w:rPr>
      </w:pPr>
      <w:r w:rsidRPr="00B96EAD">
        <w:rPr>
          <w:bCs/>
          <w:spacing w:val="-3"/>
        </w:rPr>
        <w:t>The World Health Organization recommends that rates of CSOM in excess of 4% be regarded as a massive public health problem.</w:t>
      </w:r>
      <w:r w:rsidRPr="00B96EAD">
        <w:rPr>
          <w:bCs/>
          <w:spacing w:val="-3"/>
        </w:rPr>
        <w:fldChar w:fldCharType="begin"/>
      </w:r>
      <w:r w:rsidRPr="00B96EAD">
        <w:rPr>
          <w:bCs/>
          <w:spacing w:val="-3"/>
        </w:rPr>
        <w:instrText xml:space="preserve"> ADDIN REFMGR.CITE &lt;Refman&gt;&lt;Cite&gt;&lt;Author&gt;Report of a WHO/CIBA Foundation Workshop&lt;/Author&gt;&lt;Year&gt;1996&lt;/Year&gt;&lt;RecNum&gt;1858&lt;/RecNum&gt;&lt;IDText&gt;Prevention of Hearing Impairment from Chronic Otitis Media&lt;/IDText&gt;&lt;MDL Ref_Type="Book, Whole"&gt;&lt;Ref_Type&gt;Book, Whole&lt;/Ref_Type&gt;&lt;Ref_ID&gt;1858&lt;/Ref_ID&gt;&lt;Title_Primary&gt;Prevention of Hearing Impairment from Chronic Otitis Media&lt;/Title_Primary&gt;&lt;Authors_Primary&gt;Report of a WHO/CIBA Foundation Workshop&lt;/Authors_Primary&gt;&lt;Date_Primary&gt;1996&lt;/Date_Primary&gt;&lt;Keywords&gt;Hearing&lt;/Keywords&gt;&lt;Keywords&gt;otitis&lt;/Keywords&gt;&lt;Keywords&gt;otitis media&lt;/Keywords&gt;&lt;Keywords&gt;WHO&lt;/Keywords&gt;&lt;Reprint&gt;In File&lt;/Reprint&gt;&lt;Pub_Place&gt;Geneva&lt;/Pub_Place&gt;&lt;Publisher&gt;World Health Organisation&lt;/Publisher&gt;&lt;ZZ_WorkformID&gt;2&lt;/ZZ_WorkformID&gt;&lt;/MDL&gt;&lt;/Cite&gt;&lt;/Refman&gt;</w:instrText>
      </w:r>
      <w:r w:rsidRPr="00B96EAD">
        <w:rPr>
          <w:bCs/>
          <w:spacing w:val="-3"/>
        </w:rPr>
        <w:fldChar w:fldCharType="separate"/>
      </w:r>
      <w:r w:rsidRPr="00B96EAD">
        <w:rPr>
          <w:bCs/>
          <w:spacing w:val="-3"/>
          <w:vertAlign w:val="superscript"/>
        </w:rPr>
        <w:t>15</w:t>
      </w:r>
      <w:r w:rsidRPr="00B96EAD">
        <w:rPr>
          <w:bCs/>
          <w:spacing w:val="-3"/>
        </w:rPr>
        <w:fldChar w:fldCharType="end"/>
      </w:r>
      <w:r w:rsidRPr="00B96EAD">
        <w:rPr>
          <w:bCs/>
          <w:spacing w:val="-3"/>
        </w:rPr>
        <w:t xml:space="preserve"> </w:t>
      </w:r>
    </w:p>
    <w:p w:rsidR="001F40CA" w:rsidRPr="00B96EAD" w:rsidRDefault="001F40CA" w:rsidP="001F40CA">
      <w:pPr>
        <w:numPr>
          <w:ilvl w:val="0"/>
          <w:numId w:val="1"/>
        </w:numPr>
        <w:pBdr>
          <w:top w:val="single" w:sz="4" w:space="1" w:color="auto"/>
          <w:left w:val="single" w:sz="4" w:space="4" w:color="auto"/>
          <w:bottom w:val="single" w:sz="4" w:space="1" w:color="auto"/>
          <w:right w:val="single" w:sz="4" w:space="4" w:color="auto"/>
        </w:pBdr>
        <w:tabs>
          <w:tab w:val="left" w:pos="567"/>
        </w:tabs>
        <w:suppressAutoHyphens/>
        <w:spacing w:before="240"/>
        <w:ind w:left="567" w:hanging="567"/>
        <w:rPr>
          <w:bCs/>
          <w:spacing w:val="-3"/>
        </w:rPr>
      </w:pPr>
      <w:r w:rsidRPr="00B96EAD">
        <w:rPr>
          <w:bCs/>
          <w:spacing w:val="-3"/>
        </w:rPr>
        <w:t>While quinolone antibiotics (e.g. ciprofloxacin) are theoretically more active against the bacteria commonly associated with CSOM (</w:t>
      </w:r>
      <w:r w:rsidRPr="00B96EAD">
        <w:rPr>
          <w:bCs/>
          <w:i/>
          <w:iCs/>
          <w:spacing w:val="-3"/>
        </w:rPr>
        <w:t xml:space="preserve">Pseudomonas </w:t>
      </w:r>
      <w:proofErr w:type="spellStart"/>
      <w:r w:rsidRPr="00B96EAD">
        <w:rPr>
          <w:bCs/>
          <w:i/>
          <w:iCs/>
          <w:spacing w:val="-3"/>
        </w:rPr>
        <w:t>aeruginosa</w:t>
      </w:r>
      <w:proofErr w:type="spellEnd"/>
      <w:r w:rsidRPr="00B96EAD">
        <w:rPr>
          <w:bCs/>
          <w:spacing w:val="-3"/>
        </w:rPr>
        <w:t xml:space="preserve">), they have failed to eradicate all pathogens involved (particularly </w:t>
      </w:r>
      <w:r w:rsidRPr="00B96EAD">
        <w:rPr>
          <w:bCs/>
          <w:i/>
          <w:spacing w:val="-3"/>
        </w:rPr>
        <w:t xml:space="preserve">Staphylococcus </w:t>
      </w:r>
      <w:proofErr w:type="spellStart"/>
      <w:r w:rsidRPr="00B96EAD">
        <w:rPr>
          <w:bCs/>
          <w:i/>
          <w:spacing w:val="-3"/>
        </w:rPr>
        <w:t>aureus</w:t>
      </w:r>
      <w:proofErr w:type="spellEnd"/>
      <w:proofErr w:type="gramStart"/>
      <w:r w:rsidRPr="00B96EAD">
        <w:rPr>
          <w:bCs/>
          <w:spacing w:val="-3"/>
        </w:rPr>
        <w:t>) .</w:t>
      </w:r>
      <w:proofErr w:type="gramEnd"/>
      <w:r w:rsidRPr="00B96EAD">
        <w:rPr>
          <w:bCs/>
          <w:spacing w:val="-3"/>
        </w:rPr>
        <w:t xml:space="preserve"> There are no large studies describing the microbiology of CSOM in Aboriginal children.  </w:t>
      </w:r>
    </w:p>
    <w:p w:rsidR="001F40CA" w:rsidRPr="00B96EAD" w:rsidRDefault="001F40CA" w:rsidP="001F40CA">
      <w:pPr>
        <w:numPr>
          <w:ilvl w:val="0"/>
          <w:numId w:val="1"/>
        </w:numPr>
        <w:pBdr>
          <w:top w:val="single" w:sz="4" w:space="1" w:color="auto"/>
          <w:left w:val="single" w:sz="4" w:space="4" w:color="auto"/>
          <w:bottom w:val="single" w:sz="4" w:space="1" w:color="auto"/>
          <w:right w:val="single" w:sz="4" w:space="4" w:color="auto"/>
        </w:pBdr>
        <w:tabs>
          <w:tab w:val="left" w:pos="567"/>
        </w:tabs>
        <w:suppressAutoHyphens/>
        <w:spacing w:before="240"/>
        <w:ind w:left="567" w:hanging="567"/>
        <w:rPr>
          <w:bCs/>
          <w:spacing w:val="-3"/>
        </w:rPr>
      </w:pPr>
      <w:r w:rsidRPr="00B96EAD">
        <w:rPr>
          <w:bCs/>
          <w:spacing w:val="-3"/>
        </w:rPr>
        <w:t>The only R</w:t>
      </w:r>
      <w:r>
        <w:rPr>
          <w:bCs/>
          <w:spacing w:val="-3"/>
        </w:rPr>
        <w:t xml:space="preserve">andomised </w:t>
      </w:r>
      <w:r w:rsidRPr="00B96EAD">
        <w:rPr>
          <w:bCs/>
          <w:spacing w:val="-3"/>
        </w:rPr>
        <w:t>C</w:t>
      </w:r>
      <w:r>
        <w:rPr>
          <w:bCs/>
          <w:spacing w:val="-3"/>
        </w:rPr>
        <w:t xml:space="preserve">ontrolled </w:t>
      </w:r>
      <w:r w:rsidRPr="00B96EAD">
        <w:rPr>
          <w:bCs/>
          <w:spacing w:val="-3"/>
        </w:rPr>
        <w:t>T</w:t>
      </w:r>
      <w:r>
        <w:rPr>
          <w:bCs/>
          <w:spacing w:val="-3"/>
        </w:rPr>
        <w:t>rial (RCT)</w:t>
      </w:r>
      <w:r w:rsidRPr="00B96EAD">
        <w:rPr>
          <w:bCs/>
          <w:spacing w:val="-3"/>
        </w:rPr>
        <w:t xml:space="preserve"> in Aboriginal children to describe a treatment that was effective in the majority of children with CSOM used the combination of </w:t>
      </w:r>
      <w:proofErr w:type="spellStart"/>
      <w:r w:rsidRPr="00B96EAD">
        <w:rPr>
          <w:bCs/>
          <w:spacing w:val="-3"/>
        </w:rPr>
        <w:t>povidine</w:t>
      </w:r>
      <w:proofErr w:type="spellEnd"/>
      <w:r w:rsidRPr="00B96EAD">
        <w:rPr>
          <w:bCs/>
          <w:spacing w:val="-3"/>
        </w:rPr>
        <w:t>-iodine ear washes followed by ciprofloxacin ear drops.</w:t>
      </w:r>
      <w:r w:rsidRPr="00B96EAD">
        <w:rPr>
          <w:bCs/>
          <w:spacing w:val="-3"/>
        </w:rPr>
        <w:fldChar w:fldCharType="begin"/>
      </w:r>
      <w:r w:rsidRPr="00B96EAD">
        <w:rPr>
          <w:bCs/>
          <w:spacing w:val="-3"/>
        </w:rPr>
        <w:instrText xml:space="preserve"> ADDIN REFMGR.CITE &lt;Refman&gt;&lt;Cite&gt;&lt;Author&gt;Couzos&lt;/Author&gt;&lt;Year&gt;2003&lt;/Year&gt;&lt;RecNum&gt;3068&lt;/RecNum&gt;&lt;IDText&gt;Effectiveness of ototopical antibiotics for chronic suppurative otitis media in Aboriginal children: a community-based, multicentre, double-blind randomised controlled trial&lt;/IDText&gt;&lt;MDL Ref_Type="Journal"&gt;&lt;Ref_Type&gt;Journal&lt;/Ref_Type&gt;&lt;Ref_ID&gt;3068&lt;/Ref_ID&gt;&lt;Title_Primary&gt;Effectiveness of ototopical antibiotics for chronic suppurative otitis media in Aboriginal children: a community-based, multicentre, double-blind randomised controlled trial&lt;/Title_Primary&gt;&lt;Authors_Primary&gt;Couzos,S.&lt;/Authors_Primary&gt;&lt;Authors_Primary&gt;Lea,T.&lt;/Authors_Primary&gt;&lt;Authors_Primary&gt;Mueller,R.&lt;/Authors_Primary&gt;&lt;Authors_Primary&gt;Murray,R.&lt;/Authors_Primary&gt;&lt;Authors_Primary&gt;Culbong,M.&lt;/Authors_Primary&gt;&lt;Date_Primary&gt;2003/8/18&lt;/Date_Primary&gt;&lt;Keywords&gt;Aboriginal&lt;/Keywords&gt;&lt;Keywords&gt;Aged&lt;/Keywords&gt;&lt;Keywords&gt;antibiotic&lt;/Keywords&gt;&lt;Keywords&gt;antibiotics&lt;/Keywords&gt;&lt;Keywords&gt;Australia&lt;/Keywords&gt;&lt;Keywords&gt;Ciprofloxacin&lt;/Keywords&gt;&lt;Keywords&gt;controlled trial&lt;/Keywords&gt;&lt;Keywords&gt;Dexamethasone&lt;/Keywords&gt;&lt;Keywords&gt;Ear&lt;/Keywords&gt;&lt;Keywords&gt;Gramicidin&lt;/Keywords&gt;&lt;Keywords&gt;Health&lt;/Keywords&gt;&lt;Keywords&gt;Health Services&lt;/Keywords&gt;&lt;Keywords&gt;Hearing&lt;/Keywords&gt;&lt;Keywords&gt;otitis&lt;/Keywords&gt;&lt;Keywords&gt;otitis media&lt;/Keywords&gt;&lt;Keywords&gt;Pseudomonas&lt;/Keywords&gt;&lt;Keywords&gt;Pseudomonas aeruginosa&lt;/Keywords&gt;&lt;Keywords&gt;randomised controlled trial&lt;/Keywords&gt;&lt;Keywords&gt;Tympanic Membrane&lt;/Keywords&gt;&lt;Reprint&gt;Not in File&lt;/Reprint&gt;&lt;Start_Page&gt;185&lt;/Start_Page&gt;&lt;End_Page&gt;190&lt;/End_Page&gt;&lt;Periodical&gt;Med J Aust&lt;/Periodical&gt;&lt;Volume&gt;179&lt;/Volume&gt;&lt;Issue&gt;4&lt;/Issue&gt;&lt;ZZ_JournalFull&gt;&lt;f name="System"&gt;Med J Aust&lt;/f&gt;&lt;/ZZ_JournalFull&gt;&lt;ZZ_WorkformID&gt;1&lt;/ZZ_WorkformID&gt;&lt;/MDL&gt;&lt;/Cite&gt;&lt;/Refman&gt;</w:instrText>
      </w:r>
      <w:r w:rsidRPr="00B96EAD">
        <w:rPr>
          <w:bCs/>
          <w:spacing w:val="-3"/>
        </w:rPr>
        <w:fldChar w:fldCharType="separate"/>
      </w:r>
      <w:r w:rsidRPr="00B96EAD">
        <w:rPr>
          <w:bCs/>
          <w:spacing w:val="-3"/>
          <w:vertAlign w:val="superscript"/>
        </w:rPr>
        <w:t>16</w:t>
      </w:r>
      <w:r w:rsidRPr="00B96EAD">
        <w:rPr>
          <w:bCs/>
          <w:spacing w:val="-3"/>
        </w:rPr>
        <w:fldChar w:fldCharType="end"/>
      </w:r>
      <w:r w:rsidRPr="00B96EAD">
        <w:rPr>
          <w:bCs/>
          <w:spacing w:val="-3"/>
        </w:rPr>
        <w:t xml:space="preserve">  There were important differences in the severity of disease in these children compared to those currently living in remote communities of the NT.  </w:t>
      </w:r>
    </w:p>
    <w:p w:rsidR="001F40CA" w:rsidRDefault="001F40CA" w:rsidP="001F40CA">
      <w:pPr>
        <w:numPr>
          <w:ilvl w:val="0"/>
          <w:numId w:val="1"/>
        </w:numPr>
        <w:pBdr>
          <w:top w:val="single" w:sz="4" w:space="1" w:color="auto"/>
          <w:left w:val="single" w:sz="4" w:space="4" w:color="auto"/>
          <w:bottom w:val="single" w:sz="4" w:space="1" w:color="auto"/>
          <w:right w:val="single" w:sz="4" w:space="4" w:color="auto"/>
        </w:pBdr>
        <w:tabs>
          <w:tab w:val="left" w:pos="567"/>
        </w:tabs>
        <w:suppressAutoHyphens/>
        <w:spacing w:before="240" w:after="240"/>
        <w:ind w:left="567" w:hanging="567"/>
      </w:pPr>
      <w:r w:rsidRPr="00B96EAD">
        <w:rPr>
          <w:bCs/>
          <w:spacing w:val="-3"/>
        </w:rPr>
        <w:t>Children with CSOM in the NT are often treated with oral antibiotics.  In our most recent CSOM study, 75% of children who sought clinical care were prescribed amoxicillin.</w:t>
      </w:r>
      <w:r w:rsidRPr="00B96EAD">
        <w:rPr>
          <w:bCs/>
          <w:spacing w:val="-3"/>
        </w:rPr>
        <w:fldChar w:fldCharType="begin"/>
      </w:r>
      <w:r w:rsidRPr="00B96EAD">
        <w:rPr>
          <w:bCs/>
          <w:spacing w:val="-3"/>
        </w:rPr>
        <w:instrText xml:space="preserve"> ADDIN REFMGR.CITE &lt;Refman&gt;&lt;Cite&gt;&lt;Author&gt;Stephen&lt;/Author&gt;&lt;Year&gt;2013&lt;/Year&gt;&lt;RecNum&gt;3852&lt;/RecNum&gt;&lt;IDText&gt;Unpublished PhD thesis.&lt;/IDText&gt;&lt;MDL Ref_Type="Book Chapter"&gt;&lt;Ref_Type&gt;Book Chapter&lt;/Ref_Type&gt;&lt;Ref_ID&gt;3852&lt;/Ref_ID&gt;&lt;Title_Primary&gt;Unpublished PhD thesis.&lt;/Title_Primary&gt;&lt;Authors_Primary&gt;Stephen,A&lt;/Authors_Primary&gt;&lt;Date_Primary&gt;2013&lt;/Date_Primary&gt;&lt;Reprint&gt;Not in File&lt;/Reprint&gt;&lt;ZZ_WorkformID&gt;3&lt;/ZZ_WorkformID&gt;&lt;/MDL&gt;&lt;/Cite&gt;&lt;/Refman&gt;</w:instrText>
      </w:r>
      <w:r w:rsidRPr="00B96EAD">
        <w:rPr>
          <w:bCs/>
          <w:spacing w:val="-3"/>
        </w:rPr>
        <w:fldChar w:fldCharType="separate"/>
      </w:r>
      <w:r w:rsidRPr="00B96EAD">
        <w:rPr>
          <w:bCs/>
          <w:spacing w:val="-3"/>
          <w:vertAlign w:val="superscript"/>
        </w:rPr>
        <w:t>17</w:t>
      </w:r>
      <w:r w:rsidRPr="00B96EAD">
        <w:rPr>
          <w:bCs/>
          <w:spacing w:val="-3"/>
        </w:rPr>
        <w:fldChar w:fldCharType="end"/>
      </w:r>
      <w:r w:rsidRPr="00B96EAD">
        <w:rPr>
          <w:bCs/>
          <w:spacing w:val="-3"/>
        </w:rPr>
        <w:t xml:space="preserve">  It is unclear whether this is ever indicated. </w:t>
      </w:r>
    </w:p>
    <w:p w:rsidR="00BA6265" w:rsidRDefault="00BA6265" w:rsidP="001F40CA">
      <w:pPr>
        <w:pStyle w:val="Heading6"/>
        <w:spacing w:after="120"/>
      </w:pPr>
      <w:r w:rsidRPr="00B96EAD">
        <w:t>Antiseptic Ear Washes</w:t>
      </w:r>
      <w:r w:rsidR="001F40CA">
        <w:t>:</w:t>
      </w:r>
    </w:p>
    <w:p w:rsidR="00BA6265" w:rsidRPr="00B96EAD" w:rsidRDefault="00BA6265" w:rsidP="00660039">
      <w:pPr>
        <w:spacing w:after="120"/>
      </w:pPr>
      <w:r w:rsidRPr="00B96EAD">
        <w:t>The OATSIH Guidelines define CSOM as present when discharge has persisted for at least 2 weeks.</w:t>
      </w:r>
      <w:r w:rsidR="009B5648" w:rsidRPr="00B96EAD">
        <w:fldChar w:fldCharType="begin"/>
      </w:r>
      <w:r w:rsidRPr="00B96EAD">
        <w:instrText xml:space="preserve"> ADDIN REFMGR.CITE &lt;Refman&gt;&lt;Cite&gt;&lt;Author&gt;Morris&lt;/Author&gt;&lt;Year&gt;2011&lt;/Year&gt;&lt;RecNum&gt;3750&lt;/RecNum&gt;&lt;IDText&gt;Recommendations for Clinical Care Guidelines on the Management of Otitis Media in Aboriginal and Torres Strait Islander Populations (Updated 2010)&lt;/IDText&gt;&lt;MDL Ref_Type="Book, Whole"&gt;&lt;Ref_Type&gt;Book, Whole&lt;/Ref_Type&gt;&lt;Ref_ID&gt;3750&lt;/Ref_ID&gt;&lt;Title_Primary&gt;Recommendations for Clinical Care Guidelines on the Management of Otitis Media in Aboriginal and Torres Strait Islander Populations (Updated 2010)&lt;/Title_Primary&gt;&lt;Authors_Primary&gt;Morris,P&lt;/Authors_Primary&gt;&lt;Authors_Primary&gt;Leach,A&lt;/Authors_Primary&gt;&lt;Authors_Primary&gt;Shah,P&lt;/Authors_Primary&gt;&lt;Authors_Primary&gt;Nelson,S&lt;/Authors_Primary&gt;&lt;Authors_Primary&gt;Ananf,A&lt;/Authors_Primary&gt;&lt;Authors_Primary&gt;Daby,J&lt;/Authors_Primary&gt;&lt;Authors_Primary&gt;Allnutt,R&lt;/Authors_Primary&gt;&lt;Authors_Primary&gt;Bainbridge,D&lt;/Authors_Primary&gt;&lt;Authors_Primary&gt;Edwards,K&lt;/Authors_Primary&gt;&lt;Authors_Primary&gt;Patel,H&lt;/Authors_Primary&gt;&lt;Authors_Primary&gt;Torzillo,P&lt;/Authors_Primary&gt;&lt;Authors_Primary&gt;Boswell,J&lt;/Authors_Primary&gt;&lt;Authors_Primary&gt;Gunasekera,H&lt;/Authors_Primary&gt;&lt;Authors_Primary&gt;Currie,K&lt;/Authors_Primary&gt;&lt;Authors_Primary&gt;Harkus,S&lt;/Authors_Primary&gt;&lt;Authors_Primary&gt;Lehmann,D&lt;/Authors_Primary&gt;&lt;Authors_Primary&gt;Kong,K&lt;/Authors_Primary&gt;&lt;Authors_Primary&gt;Coates,H&lt;/Authors_Primary&gt;&lt;Authors_Primary&gt;O&amp;apos;Leary,S&lt;/Authors_Primary&gt;&lt;Authors_Primary&gt;Isaacs,D&lt;/Authors_Primary&gt;&lt;Authors_Primary&gt;Perry,C&lt;/Authors_Primary&gt;&lt;Date_Primary&gt;2011&lt;/Date_Primary&gt;&lt;Keywords&gt;Aboriginal&lt;/Keywords&gt;&lt;Keywords&gt;Guidelines&lt;/Keywords&gt;&lt;Keywords&gt;otitis&lt;/Keywords&gt;&lt;Keywords&gt;otitis media&lt;/Keywords&gt;&lt;Keywords&gt;Population&lt;/Keywords&gt;&lt;Reprint&gt;Not in File&lt;/Reprint&gt;&lt;Pub_Place&gt;Canberra&lt;/Pub_Place&gt;&lt;Publisher&gt;Commonwealth of Australia&lt;/Publisher&gt;&lt;Web_URL&gt;&lt;u&gt;http://www.health.gov.au/internet/main/publishing.nsf/Content/health-oatsih-pubs-omp.htm &lt;/u&gt;&lt;/Web_URL&gt;&lt;ZZ_WorkformID&gt;2&lt;/ZZ_WorkformID&gt;&lt;/MDL&gt;&lt;/Cite&gt;&lt;/Refman&gt;</w:instrText>
      </w:r>
      <w:r w:rsidR="009B5648" w:rsidRPr="00B96EAD">
        <w:fldChar w:fldCharType="separate"/>
      </w:r>
      <w:r w:rsidRPr="00B96EAD">
        <w:rPr>
          <w:vertAlign w:val="superscript"/>
        </w:rPr>
        <w:t>13</w:t>
      </w:r>
      <w:r w:rsidR="009B5648" w:rsidRPr="00B96EAD">
        <w:fldChar w:fldCharType="end"/>
      </w:r>
      <w:r w:rsidRPr="00B96EAD">
        <w:t xml:space="preserve"> The progression from </w:t>
      </w:r>
      <w:proofErr w:type="spellStart"/>
      <w:r w:rsidRPr="00B96EAD">
        <w:t>AOMwiP</w:t>
      </w:r>
      <w:proofErr w:type="spellEnd"/>
      <w:r w:rsidRPr="00B96EAD">
        <w:t xml:space="preserve"> to CSOM is associated with secondary infection with a range of bacteria that are much less susceptible to commonly used antibiotics (</w:t>
      </w:r>
      <w:r w:rsidRPr="00B96EAD">
        <w:rPr>
          <w:i/>
          <w:iCs/>
        </w:rPr>
        <w:t>Pseudomonas, Staphylococcus, Proteus</w:t>
      </w:r>
      <w:r w:rsidRPr="00B96EAD">
        <w:t xml:space="preserve">, and </w:t>
      </w:r>
      <w:proofErr w:type="spellStart"/>
      <w:r w:rsidRPr="00B96EAD">
        <w:rPr>
          <w:i/>
          <w:iCs/>
        </w:rPr>
        <w:t>Klebsiella</w:t>
      </w:r>
      <w:proofErr w:type="spellEnd"/>
      <w:r w:rsidRPr="00B96EAD">
        <w:t xml:space="preserve"> species) than those present in acute otitis media (AOM).</w:t>
      </w:r>
      <w:r w:rsidR="009B5648" w:rsidRPr="00B96EAD">
        <w:fldChar w:fldCharType="begin"/>
      </w:r>
      <w:r w:rsidRPr="00B96EAD">
        <w:instrText xml:space="preserve"> ADDIN REFMGR.CITE &lt;Refman&gt;&lt;Cite&gt;&lt;Author&gt;Bluestone&lt;/Author&gt;&lt;Year&gt;1998&lt;/Year&gt;&lt;RecNum&gt;1702&lt;/RecNum&gt;&lt;IDText&gt;Epidemiology and pathogenesis of chronic suppurative otitis media: implications for prevention and treatment.&lt;/IDText&gt;&lt;MDL Ref_Type="Journal"&gt;&lt;Ref_Type&gt;Journal&lt;/Ref_Type&gt;&lt;Ref_ID&gt;1702&lt;/Ref_ID&gt;&lt;Title_Primary&gt;Epidemiology and pathogenesis of chronic suppurative otitis media: implications for prevention and treatment.&lt;/Title_Primary&gt;&lt;Authors_Primary&gt;Bluestone,C.D.&lt;/Authors_Primary&gt;&lt;Date_Primary&gt;1998/1&lt;/Date_Primary&gt;&lt;Keywords&gt;Acute Disease&lt;/Keywords&gt;&lt;Keywords&gt;Audiometry,Pure Tone&lt;/Keywords&gt;&lt;Keywords&gt;Auditory Threshold&lt;/Keywords&gt;&lt;Keywords&gt;Child,Preschool&lt;/Keywords&gt;&lt;Keywords&gt;Chronic Disease&lt;/Keywords&gt;&lt;Keywords&gt;Hearing Loss,Conductive diagnosis&lt;/Keywords&gt;&lt;Keywords&gt;Hearing Loss,Conductive etiology&lt;/Keywords&gt;&lt;Keywords&gt;Infant&lt;/Keywords&gt;&lt;Keywords&gt;Otitis Media with Effusion complications&lt;/Keywords&gt;&lt;Keywords&gt;Otitis Media with Effusion epidemiology&lt;/Keywords&gt;&lt;Keywords&gt;Prevalence&lt;/Keywords&gt;&lt;Keywords&gt;risk factors&lt;/Keywords&gt;&lt;Keywords&gt;Tympanic Membrane Perforation etiology&lt;/Keywords&gt;&lt;Keywords&gt;Antibiotics therapeutic use&lt;/Keywords&gt;&lt;Keywords&gt;Otitis Media with Effusion therapy&lt;/Keywords&gt;&lt;Keywords&gt;epidemiology&lt;/Keywords&gt;&lt;Keywords&gt;otitis&lt;/Keywords&gt;&lt;Keywords&gt;otitis media&lt;/Keywords&gt;&lt;Keywords&gt;Public Health&lt;/Keywords&gt;&lt;Keywords&gt;Health&lt;/Keywords&gt;&lt;Keywords&gt;Developing Countries&lt;/Keywords&gt;&lt;Keywords&gt;developing country&lt;/Keywords&gt;&lt;Keywords&gt;high risk population&lt;/Keywords&gt;&lt;Keywords&gt;Risk&lt;/Keywords&gt;&lt;Keywords&gt;Population&lt;/Keywords&gt;&lt;Keywords&gt;WHO&lt;/Keywords&gt;&lt;Keywords&gt;Infection&lt;/Keywords&gt;&lt;Keywords&gt;Recurrence&lt;/Keywords&gt;&lt;Keywords&gt;Nasopharynx&lt;/Keywords&gt;&lt;Reprint&gt;In File&lt;/Reprint&gt;&lt;Start_Page&gt;207&lt;/Start_Page&gt;&lt;End_Page&gt;223&lt;/End_Page&gt;&lt;Periodical&gt;Int.J Pediatr Otorhinolaryngol.&lt;/Periodical&gt;&lt;Volume&gt;42&lt;/Volume&gt;&lt;Issue&gt;3&lt;/Issue&gt;&lt;ZZ_JournalStdAbbrev&gt;&lt;f name="System"&gt;Int.J Pediatr Otorhinolaryngol.&lt;/f&gt;&lt;/ZZ_JournalStdAbbrev&gt;&lt;ZZ_WorkformID&gt;1&lt;/ZZ_WorkformID&gt;&lt;/MDL&gt;&lt;/Cite&gt;&lt;/Refman&gt;</w:instrText>
      </w:r>
      <w:r w:rsidR="009B5648" w:rsidRPr="00B96EAD">
        <w:fldChar w:fldCharType="separate"/>
      </w:r>
      <w:r w:rsidRPr="00B96EAD">
        <w:rPr>
          <w:vertAlign w:val="superscript"/>
        </w:rPr>
        <w:t>18</w:t>
      </w:r>
      <w:r w:rsidR="009B5648" w:rsidRPr="00B96EAD">
        <w:fldChar w:fldCharType="end"/>
      </w:r>
      <w:r w:rsidRPr="00B96EAD">
        <w:t xml:space="preserve">  Previously the OATSIH Guidelines recommended that topical antibiotics alone (after cleaning by dry mopping) be first line therapy.  The revised guidelines have acknowledged that there is a lack of evidence for the effectiveness of combining antiseptic ear washes and topical antibiotics.  The guidelines now state “Clean the ear canal by using twisted tissue paper (dry mopping) or syringing with dilute </w:t>
      </w:r>
      <w:proofErr w:type="spellStart"/>
      <w:r w:rsidRPr="00B96EAD">
        <w:t>betadine</w:t>
      </w:r>
      <w:proofErr w:type="spellEnd"/>
      <w:r w:rsidRPr="00B96EAD">
        <w:t xml:space="preserve"> (1:20)….-Level IV evidence”.</w:t>
      </w:r>
      <w:r w:rsidR="009B5648" w:rsidRPr="00B96EAD">
        <w:fldChar w:fldCharType="begin"/>
      </w:r>
      <w:r w:rsidRPr="00B96EAD">
        <w:instrText xml:space="preserve"> ADDIN REFMGR.CITE &lt;Refman&gt;&lt;Cite&gt;&lt;Author&gt;Morris&lt;/Author&gt;&lt;Year&gt;2011&lt;/Year&gt;&lt;RecNum&gt;3750&lt;/RecNum&gt;&lt;IDText&gt;Recommendations for Clinical Care Guidelines on the Management of Otitis Media in Aboriginal and Torres Strait Islander Populations (Updated 2010)&lt;/IDText&gt;&lt;MDL Ref_Type="Book, Whole"&gt;&lt;Ref_Type&gt;Book, Whole&lt;/Ref_Type&gt;&lt;Ref_ID&gt;3750&lt;/Ref_ID&gt;&lt;Title_Primary&gt;Recommendations for Clinical Care Guidelines on the Management of Otitis Media in Aboriginal and Torres Strait Islander Populations (Updated 2010)&lt;/Title_Primary&gt;&lt;Authors_Primary&gt;Morris,P&lt;/Authors_Primary&gt;&lt;Authors_Primary&gt;Leach,A&lt;/Authors_Primary&gt;&lt;Authors_Primary&gt;Shah,P&lt;/Authors_Primary&gt;&lt;Authors_Primary&gt;Nelson,S&lt;/Authors_Primary&gt;&lt;Authors_Primary&gt;Ananf,A&lt;/Authors_Primary&gt;&lt;Authors_Primary&gt;Daby,J&lt;/Authors_Primary&gt;&lt;Authors_Primary&gt;Allnutt,R&lt;/Authors_Primary&gt;&lt;Authors_Primary&gt;Bainbridge,D&lt;/Authors_Primary&gt;&lt;Authors_Primary&gt;Edwards,K&lt;/Authors_Primary&gt;&lt;Authors_Primary&gt;Patel,H&lt;/Authors_Primary&gt;&lt;Authors_Primary&gt;Torzillo,P&lt;/Authors_Primary&gt;&lt;Authors_Primary&gt;Boswell,J&lt;/Authors_Primary&gt;&lt;Authors_Primary&gt;Gunasekera,H&lt;/Authors_Primary&gt;&lt;Authors_Primary&gt;Currie,K&lt;/Authors_Primary&gt;&lt;Authors_Primary&gt;Harkus,S&lt;/Authors_Primary&gt;&lt;Authors_Primary&gt;Lehmann,D&lt;/Authors_Primary&gt;&lt;Authors_Primary&gt;Kong,K&lt;/Authors_Primary&gt;&lt;Authors_Primary&gt;Coates,H&lt;/Authors_Primary&gt;&lt;Authors_Primary&gt;O&amp;apos;Leary,S&lt;/Authors_Primary&gt;&lt;Authors_Primary&gt;Isaacs,D&lt;/Authors_Primary&gt;&lt;Authors_Primary&gt;Perry,C&lt;/Authors_Primary&gt;&lt;Date_Primary&gt;2011&lt;/Date_Primary&gt;&lt;Keywords&gt;Aboriginal&lt;/Keywords&gt;&lt;Keywords&gt;Guidelines&lt;/Keywords&gt;&lt;Keywords&gt;otitis&lt;/Keywords&gt;&lt;Keywords&gt;otitis media&lt;/Keywords&gt;&lt;Keywords&gt;Population&lt;/Keywords&gt;&lt;Reprint&gt;Not in File&lt;/Reprint&gt;&lt;Pub_Place&gt;Canberra&lt;/Pub_Place&gt;&lt;Publisher&gt;Commonwealth of Australia&lt;/Publisher&gt;&lt;Web_URL&gt;&lt;u&gt;http://www.health.gov.au/internet/main/publishing.nsf/Content/health-oatsih-pubs-omp.htm &lt;/u&gt;&lt;/Web_URL&gt;&lt;ZZ_WorkformID&gt;2&lt;/ZZ_WorkformID&gt;&lt;/MDL&gt;&lt;/Cite&gt;&lt;/Refman&gt;</w:instrText>
      </w:r>
      <w:r w:rsidR="009B5648" w:rsidRPr="00B96EAD">
        <w:fldChar w:fldCharType="separate"/>
      </w:r>
      <w:r w:rsidRPr="00B96EAD">
        <w:rPr>
          <w:vertAlign w:val="superscript"/>
        </w:rPr>
        <w:t>13</w:t>
      </w:r>
      <w:r w:rsidR="009B5648" w:rsidRPr="00B96EAD">
        <w:fldChar w:fldCharType="end"/>
      </w:r>
      <w:r w:rsidRPr="00B96EAD">
        <w:rPr>
          <w:vertAlign w:val="superscript"/>
        </w:rPr>
        <w:t>, p21</w:t>
      </w:r>
      <w:r w:rsidRPr="00B96EAD">
        <w:t xml:space="preserve"> While the expert writing group reached consensus on this recommendation, we did not identify any controlled studies assessing the impact of antiseptic ear washes. </w:t>
      </w:r>
    </w:p>
    <w:p w:rsidR="00BA6265" w:rsidRPr="00B96EAD" w:rsidRDefault="00BA6265" w:rsidP="00660039">
      <w:pPr>
        <w:spacing w:after="120"/>
      </w:pPr>
      <w:r w:rsidRPr="00B96EAD">
        <w:t>In support of this treatment option, recent studies have documented the presence of aggregates of microorganisms (biofilm) in the middle ear of Aboriginal children with CSOM.</w:t>
      </w:r>
      <w:r w:rsidR="009B5648" w:rsidRPr="00B96EAD">
        <w:fldChar w:fldCharType="begin"/>
      </w:r>
      <w:r w:rsidRPr="00B96EAD">
        <w:instrText xml:space="preserve"> ADDIN REFMGR.CITE &lt;Refman&gt;&lt;Cite&gt;&lt;Author&gt;Morris&lt;/Author&gt;&lt;Year&gt;2009&lt;/Year&gt;&lt;RecNum&gt;3514&lt;/RecNum&gt;&lt;IDText&gt;New horizons: otitis media research in Australia&lt;/IDText&gt;&lt;MDL Ref_Type="Journal"&gt;&lt;Ref_Type&gt;Journal&lt;/Ref_Type&gt;&lt;Ref_ID&gt;3514&lt;/Ref_ID&gt;&lt;Title_Primary&gt;New horizons: otitis media research in Australia&lt;/Title_Primary&gt;&lt;Authors_Primary&gt;Morris,P.S.&lt;/Authors_Primary&gt;&lt;Authors_Primary&gt;Richmond,P.&lt;/Authors_Primary&gt;&lt;Authors_Primary&gt;Lehmann,D.&lt;/Authors_Primary&gt;&lt;Authors_Primary&gt;Leach,A.J.&lt;/Authors_Primary&gt;&lt;Authors_Primary&gt;Gunasekera,H.&lt;/Authors_Primary&gt;&lt;Authors_Primary&gt;Coates,H.L.&lt;/Authors_Primary&gt;&lt;Date_Primary&gt;2009/11/2&lt;/Date_Primary&gt;&lt;Keywords&gt;antibiotic&lt;/Keywords&gt;&lt;Keywords&gt;Australia&lt;/Keywords&gt;&lt;Keywords&gt;Bacteria&lt;/Keywords&gt;&lt;Keywords&gt;Child&lt;/Keywords&gt;&lt;Keywords&gt;Developed Countries&lt;/Keywords&gt;&lt;Keywords&gt;diagnosis&lt;/Keywords&gt;&lt;Keywords&gt;education&lt;/Keywords&gt;&lt;Keywords&gt;Guidelines&lt;/Keywords&gt;&lt;Keywords&gt;Health&lt;/Keywords&gt;&lt;Keywords&gt;Hearing&lt;/Keywords&gt;&lt;Keywords&gt;Hearing Loss&lt;/Keywords&gt;&lt;Keywords&gt;Hygiene&lt;/Keywords&gt;&lt;Keywords&gt;Incidence&lt;/Keywords&gt;&lt;Keywords&gt;indigenous&lt;/Keywords&gt;&lt;Keywords&gt;Infection&lt;/Keywords&gt;&lt;Keywords&gt;otitis&lt;/Keywords&gt;&lt;Keywords&gt;otitis media&lt;/Keywords&gt;&lt;Keywords&gt;Otitis Media with Effusion&lt;/Keywords&gt;&lt;Keywords&gt;Population&lt;/Keywords&gt;&lt;Keywords&gt;Practice Guidelines&lt;/Keywords&gt;&lt;Keywords&gt;Research&lt;/Keywords&gt;&lt;Keywords&gt;Risk&lt;/Keywords&gt;&lt;Keywords&gt;Role&lt;/Keywords&gt;&lt;Keywords&gt;systematic review&lt;/Keywords&gt;&lt;Keywords&gt;therapy&lt;/Keywords&gt;&lt;Keywords&gt;Vaccines&lt;/Keywords&gt;&lt;Reprint&gt;Not in File&lt;/Reprint&gt;&lt;Start_Page&gt;S73&lt;/Start_Page&gt;&lt;End_Page&gt;S77&lt;/End_Page&gt;&lt;Periodical&gt;Med.J.Aust.&lt;/Periodical&gt;&lt;Volume&gt;191&lt;/Volume&gt;&lt;Issue&gt;9 Suppl&lt;/Issue&gt;&lt;Address&gt;Child Health Division, Menzies School of Health Research, Darwin, NT, Australia. peterm@menzies.edu.au&lt;/Address&gt;&lt;Web_URL&gt;PM:19883362&lt;/Web_URL&gt;&lt;ZZ_JournalStdAbbrev&gt;&lt;f name="System"&gt;Med.J.Aust.&lt;/f&gt;&lt;/ZZ_JournalStdAbbrev&gt;&lt;ZZ_WorkformID&gt;1&lt;/ZZ_WorkformID&gt;&lt;/MDL&gt;&lt;/Cite&gt;&lt;Cite&gt;&lt;Author&gt;Coates&lt;/Author&gt;&lt;Year&gt;2010&lt;/Year&gt;&lt;RecNum&gt;3752&lt;/RecNum&gt;&lt;IDText&gt;Bacterial biofilm in chronic suppurative otitis media&lt;/IDText&gt;&lt;MDL Ref_Type="Journal"&gt;&lt;Ref_Type&gt;Journal&lt;/Ref_Type&gt;&lt;Ref_ID&gt;3752&lt;/Ref_ID&gt;&lt;Title_Primary&gt;Bacterial biofilm in chronic suppurative otitis media&lt;/Title_Primary&gt;&lt;Authors_Primary&gt;Coates,H.&lt;/Authors_Primary&gt;&lt;Authors_Primary&gt;Vijayasekaran,S.&lt;/Authors_Primary&gt;&lt;Date_Primary&gt;2010/5&lt;/Date_Primary&gt;&lt;Keywords&gt;Biofilms&lt;/Keywords&gt;&lt;Keywords&gt;Child&lt;/Keywords&gt;&lt;Keywords&gt;Chronic Disease&lt;/Keywords&gt;&lt;Keywords&gt;Humans&lt;/Keywords&gt;&lt;Keywords&gt;microbiology&lt;/Keywords&gt;&lt;Keywords&gt;otitis&lt;/Keywords&gt;&lt;Keywords&gt;otitis media&lt;/Keywords&gt;&lt;Keywords&gt;Otitis Media,Suppurative&lt;/Keywords&gt;&lt;Reprint&gt;Not in File&lt;/Reprint&gt;&lt;Start_Page&gt;778&lt;/Start_Page&gt;&lt;Periodical&gt;Otolaryngol.Head Neck Surg.&lt;/Periodical&gt;&lt;Volume&gt;142&lt;/Volume&gt;&lt;Issue&gt;5&lt;/Issue&gt;&lt;Web_URL&gt;PM:20416478&lt;/Web_URL&gt;&lt;ZZ_JournalStdAbbrev&gt;&lt;f name="System"&gt;Otolaryngol.Head Neck Surg.&lt;/f&gt;&lt;/ZZ_JournalStdAbbrev&gt;&lt;ZZ_WorkformID&gt;1&lt;/ZZ_WorkformID&gt;&lt;/MDL&gt;&lt;/Cite&gt;&lt;Cite&gt;&lt;Author&gt;Thornton&lt;/Author&gt;&lt;Year&gt;2011&lt;/Year&gt;&lt;RecNum&gt;3751&lt;/RecNum&gt;&lt;IDText&gt;Multi-species bacterial biofilm and intracellular infection in otitis media&lt;/IDText&gt;&lt;MDL Ref_Type="Journal"&gt;&lt;Ref_Type&gt;Journal&lt;/Ref_Type&gt;&lt;Ref_ID&gt;3751&lt;/Ref_ID&gt;&lt;Title_Primary&gt;Multi-species bacterial biofilm and intracellular infection in otitis media&lt;/Title_Primary&gt;&lt;Authors_Primary&gt;Thornton,R.B.&lt;/Authors_Primary&gt;&lt;Authors_Primary&gt;Rigby,P.J.&lt;/Authors_Primary&gt;&lt;Authors_Primary&gt;Wiertsema,S.P.&lt;/Authors_Primary&gt;&lt;Authors_Primary&gt;Filion,P.&lt;/Authors_Primary&gt;&lt;Authors_Primary&gt;Langlands,J.&lt;/Authors_Primary&gt;&lt;Authors_Primary&gt;Coates,H.L.&lt;/Authors_Primary&gt;&lt;Authors_Primary&gt;Vijayasekaran,S.&lt;/Authors_Primary&gt;&lt;Authors_Primary&gt;Keil,A.D.&lt;/Authors_Primary&gt;&lt;Authors_Primary&gt;Richmond,P.C.&lt;/Authors_Primary&gt;&lt;Date_Primary&gt;2011&lt;/Date_Primary&gt;&lt;Keywords&gt;antibiotic&lt;/Keywords&gt;&lt;Keywords&gt;Australia&lt;/Keywords&gt;&lt;Keywords&gt;Bacteria&lt;/Keywords&gt;&lt;Keywords&gt;Biofilms&lt;/Keywords&gt;&lt;Keywords&gt;Biopsy&lt;/Keywords&gt;&lt;Keywords&gt;Case-Control Studies&lt;/Keywords&gt;&lt;Keywords&gt;Child&lt;/Keywords&gt;&lt;Keywords&gt;Child,Preschool&lt;/Keywords&gt;&lt;Keywords&gt;Disease&lt;/Keywords&gt;&lt;Keywords&gt;Ear&lt;/Keywords&gt;&lt;Keywords&gt;Ear,Middle&lt;/Keywords&gt;&lt;Keywords&gt;Epithelial Cells&lt;/Keywords&gt;&lt;Keywords&gt;Female&lt;/Keywords&gt;&lt;Keywords&gt;Health&lt;/Keywords&gt;&lt;Keywords&gt;Humans&lt;/Keywords&gt;&lt;Keywords&gt;In Situ Hybridization,Fluorescence&lt;/Keywords&gt;&lt;Keywords&gt;Infection&lt;/Keywords&gt;&lt;Keywords&gt;Male&lt;/Keywords&gt;&lt;Keywords&gt;methods&lt;/Keywords&gt;&lt;Keywords&gt;microbiology&lt;/Keywords&gt;&lt;Keywords&gt;Microscopy&lt;/Keywords&gt;&lt;Keywords&gt;Microscopy,Confocal&lt;/Keywords&gt;&lt;Keywords&gt;Microscopy,Electron,Transmission&lt;/Keywords&gt;&lt;Keywords&gt;Mucous Membrane&lt;/Keywords&gt;&lt;Keywords&gt;Mucus&lt;/Keywords&gt;&lt;Keywords&gt;Observation&lt;/Keywords&gt;&lt;Keywords&gt;otitis&lt;/Keywords&gt;&lt;Keywords&gt;otitis media&lt;/Keywords&gt;&lt;Keywords&gt;Otitis Media with Effusion&lt;/Keywords&gt;&lt;Keywords&gt;pathology&lt;/Keywords&gt;&lt;Keywords&gt;Research&lt;/Keywords&gt;&lt;Keywords&gt;Research Support&lt;/Keywords&gt;&lt;Keywords&gt;Role&lt;/Keywords&gt;&lt;Keywords&gt;surgery&lt;/Keywords&gt;&lt;Keywords&gt;transmission&lt;/Keywords&gt;&lt;Keywords&gt;Western Australia&lt;/Keywords&gt;&lt;Reprint&gt;Not in File&lt;/Reprint&gt;&lt;Start_Page&gt;94&lt;/Start_Page&gt;&lt;Periodical&gt;BMC.Pediatr.&lt;/Periodical&gt;&lt;Volume&gt;11&lt;/Volume&gt;&lt;Address&gt;School of Paediatrics and Child Health, The University of Western Australia, Perth, Western Australia, Australia. rthornton@meddent.uwa.edu.au&lt;/Address&gt;&lt;Web_URL&gt;PM:22018357&lt;/Web_URL&gt;&lt;ZZ_JournalStdAbbrev&gt;&lt;f name="System"&gt;BMC.Pediatr.&lt;/f&gt;&lt;/ZZ_JournalStdAbbrev&gt;&lt;ZZ_WorkformID&gt;1&lt;/ZZ_WorkformID&gt;&lt;/MDL&gt;&lt;/Cite&gt;&lt;/Refman&gt;</w:instrText>
      </w:r>
      <w:r w:rsidR="009B5648" w:rsidRPr="00B96EAD">
        <w:fldChar w:fldCharType="separate"/>
      </w:r>
      <w:r w:rsidRPr="00B96EAD">
        <w:rPr>
          <w:vertAlign w:val="superscript"/>
        </w:rPr>
        <w:t>19-21</w:t>
      </w:r>
      <w:r w:rsidR="009B5648" w:rsidRPr="00B96EAD">
        <w:fldChar w:fldCharType="end"/>
      </w:r>
      <w:r w:rsidRPr="00B96EAD">
        <w:t xml:space="preserve">  In Western Australia (where antiseptic ear washes prior to insertion of antibiotic drops is standard treatment) it is proposed that the ear washes disrupt the biofilm.  As a consequence, the mucosal infection may </w:t>
      </w:r>
      <w:r w:rsidRPr="00B96EAD">
        <w:lastRenderedPageBreak/>
        <w:t>become more receptive to topical antibiotic treatment.  While this approach has been used and reported in one clinical trial, there is little other supporting evidence available.</w:t>
      </w:r>
      <w:r w:rsidR="009B5648" w:rsidRPr="00B96EAD">
        <w:fldChar w:fldCharType="begin"/>
      </w:r>
      <w:r w:rsidRPr="00B96EAD">
        <w:instrText xml:space="preserve"> ADDIN REFMGR.CITE &lt;Refman&gt;&lt;Cite&gt;&lt;Author&gt;Couzos&lt;/Author&gt;&lt;Year&gt;2003&lt;/Year&gt;&lt;RecNum&gt;3068&lt;/RecNum&gt;&lt;IDText&gt;Effectiveness of ototopical antibiotics for chronic suppurative otitis media in Aboriginal children: a community-based, multicentre, double-blind randomised controlled trial&lt;/IDText&gt;&lt;MDL Ref_Type="Journal"&gt;&lt;Ref_Type&gt;Journal&lt;/Ref_Type&gt;&lt;Ref_ID&gt;3068&lt;/Ref_ID&gt;&lt;Title_Primary&gt;Effectiveness of ototopical antibiotics for chronic suppurative otitis media in Aboriginal children: a community-based, multicentre, double-blind randomised controlled trial&lt;/Title_Primary&gt;&lt;Authors_Primary&gt;Couzos,S.&lt;/Authors_Primary&gt;&lt;Authors_Primary&gt;Lea,T.&lt;/Authors_Primary&gt;&lt;Authors_Primary&gt;Mueller,R.&lt;/Authors_Primary&gt;&lt;Authors_Primary&gt;Murray,R.&lt;/Authors_Primary&gt;&lt;Authors_Primary&gt;Culbong,M.&lt;/Authors_Primary&gt;&lt;Date_Primary&gt;2003/8/18&lt;/Date_Primary&gt;&lt;Keywords&gt;Aboriginal&lt;/Keywords&gt;&lt;Keywords&gt;Aged&lt;/Keywords&gt;&lt;Keywords&gt;antibiotic&lt;/Keywords&gt;&lt;Keywords&gt;antibiotics&lt;/Keywords&gt;&lt;Keywords&gt;Australia&lt;/Keywords&gt;&lt;Keywords&gt;Ciprofloxacin&lt;/Keywords&gt;&lt;Keywords&gt;controlled trial&lt;/Keywords&gt;&lt;Keywords&gt;Dexamethasone&lt;/Keywords&gt;&lt;Keywords&gt;Ear&lt;/Keywords&gt;&lt;Keywords&gt;Gramicidin&lt;/Keywords&gt;&lt;Keywords&gt;Health&lt;/Keywords&gt;&lt;Keywords&gt;Health Services&lt;/Keywords&gt;&lt;Keywords&gt;Hearing&lt;/Keywords&gt;&lt;Keywords&gt;otitis&lt;/Keywords&gt;&lt;Keywords&gt;otitis media&lt;/Keywords&gt;&lt;Keywords&gt;Pseudomonas&lt;/Keywords&gt;&lt;Keywords&gt;Pseudomonas aeruginosa&lt;/Keywords&gt;&lt;Keywords&gt;randomised controlled trial&lt;/Keywords&gt;&lt;Keywords&gt;Tympanic Membrane&lt;/Keywords&gt;&lt;Reprint&gt;Not in File&lt;/Reprint&gt;&lt;Start_Page&gt;185&lt;/Start_Page&gt;&lt;End_Page&gt;190&lt;/End_Page&gt;&lt;Periodical&gt;Med J Aust&lt;/Periodical&gt;&lt;Volume&gt;179&lt;/Volume&gt;&lt;Issue&gt;4&lt;/Issue&gt;&lt;ZZ_JournalFull&gt;&lt;f name="System"&gt;Med J Aust&lt;/f&gt;&lt;/ZZ_JournalFull&gt;&lt;ZZ_WorkformID&gt;1&lt;/ZZ_WorkformID&gt;&lt;/MDL&gt;&lt;/Cite&gt;&lt;/Refman&gt;</w:instrText>
      </w:r>
      <w:r w:rsidR="009B5648" w:rsidRPr="00B96EAD">
        <w:fldChar w:fldCharType="separate"/>
      </w:r>
      <w:r w:rsidRPr="00B96EAD">
        <w:rPr>
          <w:vertAlign w:val="superscript"/>
        </w:rPr>
        <w:t>16</w:t>
      </w:r>
      <w:r w:rsidR="009B5648" w:rsidRPr="00B96EAD">
        <w:fldChar w:fldCharType="end"/>
      </w:r>
      <w:r w:rsidRPr="00B96EAD">
        <w:t xml:space="preserve">  </w:t>
      </w:r>
      <w:proofErr w:type="spellStart"/>
      <w:r w:rsidRPr="00B96EAD">
        <w:t>Couzos</w:t>
      </w:r>
      <w:proofErr w:type="spellEnd"/>
      <w:r w:rsidRPr="00B96EAD">
        <w:t xml:space="preserve"> et al reported using gentle syringing with dilute </w:t>
      </w:r>
      <w:proofErr w:type="spellStart"/>
      <w:r w:rsidRPr="00B96EAD">
        <w:t>povidine</w:t>
      </w:r>
      <w:proofErr w:type="spellEnd"/>
      <w:r w:rsidRPr="00B96EAD">
        <w:t>-iodine (0.5%) and dry mopping until the tympanic membrane (TM) was clear of pus before applying antibiotic ear drops in their RCT.  Both the comparison groups (</w:t>
      </w:r>
      <w:proofErr w:type="spellStart"/>
      <w:r w:rsidRPr="00B96EAD">
        <w:t>ciprofloxin</w:t>
      </w:r>
      <w:proofErr w:type="spellEnd"/>
      <w:r w:rsidRPr="00B96EAD">
        <w:t xml:space="preserve"> versus </w:t>
      </w:r>
      <w:proofErr w:type="spellStart"/>
      <w:r w:rsidRPr="00B96EAD">
        <w:t>Sofradex</w:t>
      </w:r>
      <w:proofErr w:type="spellEnd"/>
      <w:r w:rsidRPr="00B96EAD">
        <w:t xml:space="preserve">®) received the antiseptic ear washes, so its impact could not be assessed.  However, this trial described very high cure rates: 76% of children in the ciprofloxacin group compared to 54% in the </w:t>
      </w:r>
      <w:proofErr w:type="spellStart"/>
      <w:r w:rsidRPr="00B96EAD">
        <w:t>Sofradex</w:t>
      </w:r>
      <w:proofErr w:type="spellEnd"/>
      <w:r w:rsidRPr="00B96EAD">
        <w:t xml:space="preserve"> group had dry ears after 9 days of treatment.</w:t>
      </w:r>
      <w:r w:rsidR="009B5648" w:rsidRPr="00B96EAD">
        <w:fldChar w:fldCharType="begin"/>
      </w:r>
      <w:r w:rsidRPr="00B96EAD">
        <w:instrText xml:space="preserve"> ADDIN REFMGR.CITE &lt;Refman&gt;&lt;Cite&gt;&lt;Author&gt;Couzos&lt;/Author&gt;&lt;Year&gt;2003&lt;/Year&gt;&lt;RecNum&gt;3068&lt;/RecNum&gt;&lt;IDText&gt;Effectiveness of ototopical antibiotics for chronic suppurative otitis media in Aboriginal children: a community-based, multicentre, double-blind randomised controlled trial&lt;/IDText&gt;&lt;MDL Ref_Type="Journal"&gt;&lt;Ref_Type&gt;Journal&lt;/Ref_Type&gt;&lt;Ref_ID&gt;3068&lt;/Ref_ID&gt;&lt;Title_Primary&gt;Effectiveness of ototopical antibiotics for chronic suppurative otitis media in Aboriginal children: a community-based, multicentre, double-blind randomised controlled trial&lt;/Title_Primary&gt;&lt;Authors_Primary&gt;Couzos,S.&lt;/Authors_Primary&gt;&lt;Authors_Primary&gt;Lea,T.&lt;/Authors_Primary&gt;&lt;Authors_Primary&gt;Mueller,R.&lt;/Authors_Primary&gt;&lt;Authors_Primary&gt;Murray,R.&lt;/Authors_Primary&gt;&lt;Authors_Primary&gt;Culbong,M.&lt;/Authors_Primary&gt;&lt;Date_Primary&gt;2003/8/18&lt;/Date_Primary&gt;&lt;Keywords&gt;Aboriginal&lt;/Keywords&gt;&lt;Keywords&gt;Aged&lt;/Keywords&gt;&lt;Keywords&gt;antibiotic&lt;/Keywords&gt;&lt;Keywords&gt;antibiotics&lt;/Keywords&gt;&lt;Keywords&gt;Australia&lt;/Keywords&gt;&lt;Keywords&gt;Ciprofloxacin&lt;/Keywords&gt;&lt;Keywords&gt;controlled trial&lt;/Keywords&gt;&lt;Keywords&gt;Dexamethasone&lt;/Keywords&gt;&lt;Keywords&gt;Ear&lt;/Keywords&gt;&lt;Keywords&gt;Gramicidin&lt;/Keywords&gt;&lt;Keywords&gt;Health&lt;/Keywords&gt;&lt;Keywords&gt;Health Services&lt;/Keywords&gt;&lt;Keywords&gt;Hearing&lt;/Keywords&gt;&lt;Keywords&gt;otitis&lt;/Keywords&gt;&lt;Keywords&gt;otitis media&lt;/Keywords&gt;&lt;Keywords&gt;Pseudomonas&lt;/Keywords&gt;&lt;Keywords&gt;Pseudomonas aeruginosa&lt;/Keywords&gt;&lt;Keywords&gt;randomised controlled trial&lt;/Keywords&gt;&lt;Keywords&gt;Tympanic Membrane&lt;/Keywords&gt;&lt;Reprint&gt;Not in File&lt;/Reprint&gt;&lt;Start_Page&gt;185&lt;/Start_Page&gt;&lt;End_Page&gt;190&lt;/End_Page&gt;&lt;Periodical&gt;Med J Aust&lt;/Periodical&gt;&lt;Volume&gt;179&lt;/Volume&gt;&lt;Issue&gt;4&lt;/Issue&gt;&lt;ZZ_JournalFull&gt;&lt;f name="System"&gt;Med J Aust&lt;/f&gt;&lt;/ZZ_JournalFull&gt;&lt;ZZ_WorkformID&gt;1&lt;/ZZ_WorkformID&gt;&lt;/MDL&gt;&lt;/Cite&gt;&lt;/Refman&gt;</w:instrText>
      </w:r>
      <w:r w:rsidR="009B5648" w:rsidRPr="00B96EAD">
        <w:fldChar w:fldCharType="separate"/>
      </w:r>
      <w:r w:rsidRPr="00B96EAD">
        <w:rPr>
          <w:vertAlign w:val="superscript"/>
        </w:rPr>
        <w:t>16</w:t>
      </w:r>
      <w:r w:rsidR="009B5648" w:rsidRPr="00B96EAD">
        <w:fldChar w:fldCharType="end"/>
      </w:r>
      <w:r w:rsidRPr="00B96EAD">
        <w:t xml:space="preserve">  In comparison, a study conducted in remote NT community schools (comparing the same two topical antibiotic drops but without any ear wash) found only 14% in the ciprofloxacin group with dry ears at the 12-28 week follow up.</w:t>
      </w:r>
      <w:r w:rsidR="009B5648" w:rsidRPr="00B96EAD">
        <w:fldChar w:fldCharType="begin"/>
      </w:r>
      <w:r w:rsidRPr="00B96EAD">
        <w:instrText xml:space="preserve"> ADDIN REFMGR.CITE &lt;Refman&gt;&lt;Cite&gt;&lt;Author&gt;Leach&lt;/Author&gt;&lt;Year&gt;2008&lt;/Year&gt;&lt;RecNum&gt;3367&lt;/RecNum&gt;&lt;IDText&gt;Topical ciprofloxin versus topical framycetin-gramicidin-dexamethasone in Australian aboriginal children with recently treated chronic suppurative otitis media: a randomized controlled trial&lt;/IDText&gt;&lt;MDL Ref_Type="Journal"&gt;&lt;Ref_Type&gt;Journal&lt;/Ref_Type&gt;&lt;Ref_ID&gt;3367&lt;/Ref_ID&gt;&lt;Title_Primary&gt;Topical ciprofloxin versus topical framycetin-gramicidin-dexamethasone in Australian aboriginal children with recently treated chronic suppurative otitis media: a randomized controlled trial&lt;/Title_Primary&gt;&lt;Authors_Primary&gt;Leach,A.&lt;/Authors_Primary&gt;&lt;Authors_Primary&gt;Wood,Y.&lt;/Authors_Primary&gt;&lt;Authors_Primary&gt;Gadil,E.&lt;/Authors_Primary&gt;&lt;Authors_Primary&gt;Stubbs,E.&lt;/Authors_Primary&gt;&lt;Authors_Primary&gt;Morris,P.&lt;/Authors_Primary&gt;&lt;Date_Primary&gt;2008/8&lt;/Date_Primary&gt;&lt;Keywords&gt;Aboriginal&lt;/Keywords&gt;&lt;Keywords&gt;antibiotic&lt;/Keywords&gt;&lt;Keywords&gt;Australia&lt;/Keywords&gt;&lt;Keywords&gt;Ciprofloxacin&lt;/Keywords&gt;&lt;Keywords&gt;complications&lt;/Keywords&gt;&lt;Keywords&gt;controlled trial&lt;/Keywords&gt;&lt;Keywords&gt;disadvantaged population&lt;/Keywords&gt;&lt;Keywords&gt;disadvantaged populations&lt;/Keywords&gt;&lt;Keywords&gt;Disease&lt;/Keywords&gt;&lt;Keywords&gt;Ear&lt;/Keywords&gt;&lt;Keywords&gt;Health&lt;/Keywords&gt;&lt;Keywords&gt;Hearing&lt;/Keywords&gt;&lt;Keywords&gt;Hearing Loss&lt;/Keywords&gt;&lt;Keywords&gt;methods&lt;/Keywords&gt;&lt;Keywords&gt;otitis&lt;/Keywords&gt;&lt;Keywords&gt;otitis media&lt;/Keywords&gt;&lt;Keywords&gt;Population&lt;/Keywords&gt;&lt;Keywords&gt;randomized controlled trial&lt;/Keywords&gt;&lt;Keywords&gt;Research&lt;/Keywords&gt;&lt;Keywords&gt;therapy&lt;/Keywords&gt;&lt;Keywords&gt;Tympanic Membrane&lt;/Keywords&gt;&lt;Reprint&gt;Not in File&lt;/Reprint&gt;&lt;Start_Page&gt;692&lt;/Start_Page&gt;&lt;End_Page&gt;698&lt;/End_Page&gt;&lt;Periodical&gt;Pediatr.Infect.Dis.J.&lt;/Periodical&gt;&lt;Volume&gt;27&lt;/Volume&gt;&lt;Issue&gt;8&lt;/Issue&gt;&lt;Address&gt;From the *Menzies School of Health Research, Darwin, Australia; daggerInstitute of Advanced Studies, Charles Darwin University; and double daggerNorthern Territory Clinical School, Flinders University, Darwin, Australia&lt;/Address&gt;&lt;Web_URL&gt;PM:18664984&lt;/Web_URL&gt;&lt;ZZ_JournalStdAbbrev&gt;&lt;f name="System"&gt;Pediatr.Infect.Dis.J.&lt;/f&gt;&lt;/ZZ_JournalStdAbbrev&gt;&lt;ZZ_WorkformID&gt;1&lt;/ZZ_WorkformID&gt;&lt;/MDL&gt;&lt;/Cite&gt;&lt;/Refman&gt;</w:instrText>
      </w:r>
      <w:r w:rsidR="009B5648" w:rsidRPr="00B96EAD">
        <w:fldChar w:fldCharType="separate"/>
      </w:r>
      <w:r w:rsidRPr="00B96EAD">
        <w:rPr>
          <w:vertAlign w:val="superscript"/>
        </w:rPr>
        <w:t>22</w:t>
      </w:r>
      <w:r w:rsidR="009B5648" w:rsidRPr="00B96EAD">
        <w:fldChar w:fldCharType="end"/>
      </w:r>
      <w:r w:rsidRPr="00B96EAD">
        <w:t xml:space="preserve">  The only other randomised trial to assess </w:t>
      </w:r>
      <w:proofErr w:type="spellStart"/>
      <w:r w:rsidRPr="00B96EAD">
        <w:t>povidone</w:t>
      </w:r>
      <w:proofErr w:type="spellEnd"/>
      <w:r w:rsidRPr="00B96EAD">
        <w:t xml:space="preserve"> iodine solution compared a more concentrated solution (5%) (given as topical ear drops) with ciprofloxacin drops.  This study of 40 patients with CSOM did not find any difference between these 2 approaches (with 90% of both groups achieving dry ears by the 4 week follow up).</w:t>
      </w:r>
      <w:r w:rsidR="009B5648" w:rsidRPr="00B96EAD">
        <w:fldChar w:fldCharType="begin"/>
      </w:r>
      <w:r w:rsidRPr="00B96EAD">
        <w:instrText xml:space="preserve"> ADDIN REFMGR.CITE &lt;Refman&gt;&lt;Cite&gt;&lt;Author&gt;Jaya&lt;/Author&gt;&lt;Year&gt;2003&lt;/Year&gt;&lt;RecNum&gt;3753&lt;/RecNum&gt;&lt;IDText&gt;Evaluation of topical povidone-iodine in chronic suppurative otitis media&lt;/IDText&gt;&lt;MDL Ref_Type="Journal"&gt;&lt;Ref_Type&gt;Journal&lt;/Ref_Type&gt;&lt;Ref_ID&gt;3753&lt;/Ref_ID&gt;&lt;Title_Primary&gt;Evaluation of topical povidone-iodine in chronic suppurative otitis media&lt;/Title_Primary&gt;&lt;Authors_Primary&gt;Jaya,C.&lt;/Authors_Primary&gt;&lt;Authors_Primary&gt;Job,A.&lt;/Authors_Primary&gt;&lt;Authors_Primary&gt;Mathai,E.&lt;/Authors_Primary&gt;&lt;Authors_Primary&gt;Antonisamy,B.&lt;/Authors_Primary&gt;&lt;Date_Primary&gt;2003/10&lt;/Date_Primary&gt;&lt;Keywords&gt;administration &amp;amp; dosage&lt;/Keywords&gt;&lt;Keywords&gt;Administration,Topical&lt;/Keywords&gt;&lt;Keywords&gt;Adolescent&lt;/Keywords&gt;&lt;Keywords&gt;Adult&lt;/Keywords&gt;&lt;Keywords&gt;Anti Infective Agents&lt;/Keywords&gt;&lt;Keywords&gt;Anti-Infective Agents&lt;/Keywords&gt;&lt;Keywords&gt;Anti-Infective Agents,Local&lt;/Keywords&gt;&lt;Keywords&gt;Child&lt;/Keywords&gt;&lt;Keywords&gt;Chronic Disease&lt;/Keywords&gt;&lt;Keywords&gt;Ciprofloxacin&lt;/Keywords&gt;&lt;Keywords&gt;clinical trial&lt;/Keywords&gt;&lt;Keywords&gt;Comparative Study&lt;/Keywords&gt;&lt;Keywords&gt;complications&lt;/Keywords&gt;&lt;Keywords&gt;controlled trial&lt;/Keywords&gt;&lt;Keywords&gt;Disease&lt;/Keywords&gt;&lt;Keywords&gt;Double-Blind Method&lt;/Keywords&gt;&lt;Keywords&gt;Drug Combinations&lt;/Keywords&gt;&lt;Keywords&gt;Drug Resistance&lt;/Keywords&gt;&lt;Keywords&gt;drug therapy&lt;/Keywords&gt;&lt;Keywords&gt;Ear&lt;/Keywords&gt;&lt;Keywords&gt;Female&lt;/Keywords&gt;&lt;Keywords&gt;Head&lt;/Keywords&gt;&lt;Keywords&gt;Humans&lt;/Keywords&gt;&lt;Keywords&gt;Hydrocortisone&lt;/Keywords&gt;&lt;Keywords&gt;In Vitro&lt;/Keywords&gt;&lt;Keywords&gt;India&lt;/Keywords&gt;&lt;Keywords&gt;Knowledge&lt;/Keywords&gt;&lt;Keywords&gt;Male&lt;/Keywords&gt;&lt;Keywords&gt;otitis&lt;/Keywords&gt;&lt;Keywords&gt;otitis media&lt;/Keywords&gt;&lt;Keywords&gt;Otitis Media,Suppurative&lt;/Keywords&gt;&lt;Keywords&gt;Patients&lt;/Keywords&gt;&lt;Keywords&gt;Povidone-Iodine&lt;/Keywords&gt;&lt;Keywords&gt;Prospective Studies&lt;/Keywords&gt;&lt;Keywords&gt;Pseudomonas&lt;/Keywords&gt;&lt;Keywords&gt;Pseudomonas aeruginosa&lt;/Keywords&gt;&lt;Keywords&gt;randomized controlled trial&lt;/Keywords&gt;&lt;Keywords&gt;surgery&lt;/Keywords&gt;&lt;Keywords&gt;therapy&lt;/Keywords&gt;&lt;Keywords&gt;Tympanic Membrane Perforation&lt;/Keywords&gt;&lt;Reprint&gt;Not in File&lt;/Reprint&gt;&lt;Start_Page&gt;1098&lt;/Start_Page&gt;&lt;End_Page&gt;1100&lt;/End_Page&gt;&lt;Periodical&gt;Arch.Otolaryngol.Head Neck Surg.&lt;/Periodical&gt;&lt;Volume&gt;129&lt;/Volume&gt;&lt;Issue&gt;10&lt;/Issue&gt;&lt;Address&gt;Department of Otorhinolaryngology and Head and Neck Surgery, Christian Medical College, Vellore, India&lt;/Address&gt;&lt;Web_URL&gt;PM:14568795&lt;/Web_URL&gt;&lt;ZZ_JournalStdAbbrev&gt;&lt;f name="System"&gt;Arch.Otolaryngol.Head Neck Surg.&lt;/f&gt;&lt;/ZZ_JournalStdAbbrev&gt;&lt;ZZ_WorkformID&gt;1&lt;/ZZ_WorkformID&gt;&lt;/MDL&gt;&lt;/Cite&gt;&lt;/Refman&gt;</w:instrText>
      </w:r>
      <w:r w:rsidR="009B5648" w:rsidRPr="00B96EAD">
        <w:fldChar w:fldCharType="separate"/>
      </w:r>
      <w:r w:rsidRPr="00B96EAD">
        <w:rPr>
          <w:vertAlign w:val="superscript"/>
        </w:rPr>
        <w:t>23</w:t>
      </w:r>
      <w:r w:rsidR="009B5648" w:rsidRPr="00B96EAD">
        <w:fldChar w:fldCharType="end"/>
      </w:r>
    </w:p>
    <w:p w:rsidR="00BA6265" w:rsidRDefault="00BA6265" w:rsidP="00660039">
      <w:pPr>
        <w:spacing w:after="120"/>
      </w:pPr>
      <w:r w:rsidRPr="00B96EAD">
        <w:t xml:space="preserve">Currently, there is very little information on how often antiseptic ear washes are used even when they have been recommended.  In the NT, the impression to date has been that ear washes increase Health Worker involvement, require more effort on the part of families, are technically difficult, and are messy.  All of these factors may affect adherence.  However, if this approach increased the proportion of children with dry ears by 20%, it would be supported by primary health care staff.  We will be using aqueous </w:t>
      </w:r>
      <w:proofErr w:type="spellStart"/>
      <w:r w:rsidRPr="00B96EAD">
        <w:t>povidine</w:t>
      </w:r>
      <w:proofErr w:type="spellEnd"/>
      <w:r w:rsidRPr="00B96EAD">
        <w:t xml:space="preserve">-iodine, which does not carry the ototoxicity risk that comes with alcohol-based </w:t>
      </w:r>
      <w:proofErr w:type="spellStart"/>
      <w:r w:rsidRPr="00B96EAD">
        <w:t>povidine</w:t>
      </w:r>
      <w:proofErr w:type="spellEnd"/>
      <w:r w:rsidRPr="00B96EAD">
        <w:t>-iodine formulations.</w:t>
      </w:r>
    </w:p>
    <w:p w:rsidR="00BA6265" w:rsidRPr="001F40CA" w:rsidRDefault="00BA6265" w:rsidP="001F40CA">
      <w:pPr>
        <w:pStyle w:val="Heading6"/>
      </w:pPr>
      <w:r w:rsidRPr="001F40CA">
        <w:t>Oral antibiotic treatment</w:t>
      </w:r>
      <w:r w:rsidR="001F40CA">
        <w:t>:</w:t>
      </w:r>
    </w:p>
    <w:p w:rsidR="00BA6265" w:rsidRPr="00B96EAD" w:rsidRDefault="00BA6265" w:rsidP="00660039">
      <w:pPr>
        <w:spacing w:after="120"/>
      </w:pPr>
      <w:r w:rsidRPr="00B96EAD">
        <w:t>The revised OATSIH Guidelines now state “Treatment with oral antibiotics (</w:t>
      </w:r>
      <w:proofErr w:type="spellStart"/>
      <w:r w:rsidRPr="00B96EAD">
        <w:t>eg</w:t>
      </w:r>
      <w:proofErr w:type="spellEnd"/>
      <w:r w:rsidRPr="00B96EAD">
        <w:t>. quinolones) is not recommended routinely for CSOM.  Oral antibiotics are usually less effective than topical treatment- Level 1 Evidence”.</w:t>
      </w:r>
      <w:r w:rsidR="009B5648" w:rsidRPr="00B96EAD">
        <w:fldChar w:fldCharType="begin"/>
      </w:r>
      <w:r w:rsidRPr="00B96EAD">
        <w:instrText xml:space="preserve"> ADDIN REFMGR.CITE &lt;Refman&gt;&lt;Cite&gt;&lt;Author&gt;Morris&lt;/Author&gt;&lt;Year&gt;2011&lt;/Year&gt;&lt;RecNum&gt;3750&lt;/RecNum&gt;&lt;IDText&gt;Recommendations for Clinical Care Guidelines on the Management of Otitis Media in Aboriginal and Torres Strait Islander Populations (Updated 2010)&lt;/IDText&gt;&lt;MDL Ref_Type="Book, Whole"&gt;&lt;Ref_Type&gt;Book, Whole&lt;/Ref_Type&gt;&lt;Ref_ID&gt;3750&lt;/Ref_ID&gt;&lt;Title_Primary&gt;Recommendations for Clinical Care Guidelines on the Management of Otitis Media in Aboriginal and Torres Strait Islander Populations (Updated 2010)&lt;/Title_Primary&gt;&lt;Authors_Primary&gt;Morris,P&lt;/Authors_Primary&gt;&lt;Authors_Primary&gt;Leach,A&lt;/Authors_Primary&gt;&lt;Authors_Primary&gt;Shah,P&lt;/Authors_Primary&gt;&lt;Authors_Primary&gt;Nelson,S&lt;/Authors_Primary&gt;&lt;Authors_Primary&gt;Ananf,A&lt;/Authors_Primary&gt;&lt;Authors_Primary&gt;Daby,J&lt;/Authors_Primary&gt;&lt;Authors_Primary&gt;Allnutt,R&lt;/Authors_Primary&gt;&lt;Authors_Primary&gt;Bainbridge,D&lt;/Authors_Primary&gt;&lt;Authors_Primary&gt;Edwards,K&lt;/Authors_Primary&gt;&lt;Authors_Primary&gt;Patel,H&lt;/Authors_Primary&gt;&lt;Authors_Primary&gt;Torzillo,P&lt;/Authors_Primary&gt;&lt;Authors_Primary&gt;Boswell,J&lt;/Authors_Primary&gt;&lt;Authors_Primary&gt;Gunasekera,H&lt;/Authors_Primary&gt;&lt;Authors_Primary&gt;Currie,K&lt;/Authors_Primary&gt;&lt;Authors_Primary&gt;Harkus,S&lt;/Authors_Primary&gt;&lt;Authors_Primary&gt;Lehmann,D&lt;/Authors_Primary&gt;&lt;Authors_Primary&gt;Kong,K&lt;/Authors_Primary&gt;&lt;Authors_Primary&gt;Coates,H&lt;/Authors_Primary&gt;&lt;Authors_Primary&gt;O&amp;apos;Leary,S&lt;/Authors_Primary&gt;&lt;Authors_Primary&gt;Isaacs,D&lt;/Authors_Primary&gt;&lt;Authors_Primary&gt;Perry,C&lt;/Authors_Primary&gt;&lt;Date_Primary&gt;2011&lt;/Date_Primary&gt;&lt;Keywords&gt;Aboriginal&lt;/Keywords&gt;&lt;Keywords&gt;Guidelines&lt;/Keywords&gt;&lt;Keywords&gt;otitis&lt;/Keywords&gt;&lt;Keywords&gt;otitis media&lt;/Keywords&gt;&lt;Keywords&gt;Population&lt;/Keywords&gt;&lt;Reprint&gt;Not in File&lt;/Reprint&gt;&lt;Pub_Place&gt;Canberra&lt;/Pub_Place&gt;&lt;Publisher&gt;Commonwealth of Australia&lt;/Publisher&gt;&lt;Web_URL&gt;&lt;u&gt;http://www.health.gov.au/internet/main/publishing.nsf/Content/health-oatsih-pubs-omp.htm &lt;/u&gt;&lt;/Web_URL&gt;&lt;ZZ_WorkformID&gt;2&lt;/ZZ_WorkformID&gt;&lt;/MDL&gt;&lt;/Cite&gt;&lt;/Refman&gt;</w:instrText>
      </w:r>
      <w:r w:rsidR="009B5648" w:rsidRPr="00B96EAD">
        <w:fldChar w:fldCharType="separate"/>
      </w:r>
      <w:r w:rsidRPr="00B96EAD">
        <w:rPr>
          <w:vertAlign w:val="superscript"/>
        </w:rPr>
        <w:t>13</w:t>
      </w:r>
      <w:r w:rsidR="009B5648" w:rsidRPr="00B96EAD">
        <w:fldChar w:fldCharType="end"/>
      </w:r>
      <w:r w:rsidRPr="00B96EAD">
        <w:t xml:space="preserve">  While the expert writing group reached consensus on this recommendation, we did not make a specific recommendation on the addition of oral antibiotics to topical antibiotic treatment.  A small study in adults found no benefit from the addition of oral ciprofloxacin to topical ciprofloxacin treatment.</w:t>
      </w:r>
      <w:r w:rsidR="009B5648" w:rsidRPr="00B96EAD">
        <w:fldChar w:fldCharType="begin"/>
      </w:r>
      <w:r w:rsidRPr="00B96EAD">
        <w:instrText xml:space="preserve"> ADDIN REFMGR.CITE &lt;Refman&gt;&lt;Cite&gt;&lt;Author&gt;Esposito&lt;/Author&gt;&lt;Year&gt;1990&lt;/Year&gt;&lt;RecNum&gt;895&lt;/RecNum&gt;&lt;IDText&gt;Topical and oral treatment of chronic otitis media with ciprofloxacin. A preliminary study.&lt;/IDText&gt;&lt;MDL Ref_Type="Journal"&gt;&lt;Ref_Type&gt;Journal&lt;/Ref_Type&gt;&lt;Ref_ID&gt;895&lt;/Ref_ID&gt;&lt;Title_Primary&gt;Topical and oral treatment of chronic otitis media with ciprofloxacin. A preliminary study.&lt;/Title_Primary&gt;&lt;Authors_Primary&gt;Esposito,S.&lt;/Authors_Primary&gt;&lt;Authors_Primary&gt;D&amp;apos;Errico,G.&lt;/Authors_Primary&gt;&lt;Authors_Primary&gt;Montanaro,C.&lt;/Authors_Primary&gt;&lt;Date_Primary&gt;1990/5&lt;/Date_Primary&gt;&lt;Keywords&gt;Administration,Oral&lt;/Keywords&gt;&lt;Keywords&gt;Administration,Topical&lt;/Keywords&gt;&lt;Keywords&gt;Adult&lt;/Keywords&gt;&lt;Keywords&gt;Chronic Disease&lt;/Keywords&gt;&lt;Keywords&gt;Ciprofloxacin therapeutic use&lt;/Keywords&gt;&lt;Keywords&gt;Drug Administration Schedule&lt;/Keywords&gt;&lt;Keywords&gt;Enterobacteriaceae Infections drug therapy&lt;/Keywords&gt;&lt;Keywords&gt;Otitis Media,Suppurative etiology&lt;/Keywords&gt;&lt;Keywords&gt;Pseudomonas Infections drug therapy&lt;/Keywords&gt;&lt;Keywords&gt;Random Allocation&lt;/Keywords&gt;&lt;Keywords&gt;Staphylococcal Infections drug therapy&lt;/Keywords&gt;&lt;Keywords&gt;Ciprofloxacin administration and dosage&lt;/Keywords&gt;&lt;Keywords&gt;Otitis Media drug therapy&lt;/Keywords&gt;&lt;Keywords&gt;Otitis Media,Suppurative drug therapy&lt;/Keywords&gt;&lt;Keywords&gt;Comparative Study&lt;/Keywords&gt;&lt;Keywords&gt;Female&lt;/Keywords&gt;&lt;Keywords&gt;Human&lt;/Keywords&gt;&lt;Keywords&gt;Male&lt;/Keywords&gt;&lt;Keywords&gt;otitis&lt;/Keywords&gt;&lt;Keywords&gt;otitis media&lt;/Keywords&gt;&lt;Keywords&gt;Ciprofloxacin&lt;/Keywords&gt;&lt;Keywords&gt;Patients&lt;/Keywords&gt;&lt;Keywords&gt;therapy&lt;/Keywords&gt;&lt;Reprint&gt;In File&lt;/Reprint&gt;&lt;Start_Page&gt;557&lt;/Start_Page&gt;&lt;End_Page&gt;559&lt;/End_Page&gt;&lt;Periodical&gt;Arch.Otolaryngol Head.Neck Surg&lt;/Periodical&gt;&lt;Volume&gt;116&lt;/Volume&gt;&lt;Issue&gt;5&lt;/Issue&gt;&lt;ZZ_JournalStdAbbrev&gt;&lt;f name="System"&gt;Arch.Otolaryngol Head.Neck Surg&lt;/f&gt;&lt;/ZZ_JournalStdAbbrev&gt;&lt;ZZ_WorkformID&gt;1&lt;/ZZ_WorkformID&gt;&lt;/MDL&gt;&lt;/Cite&gt;&lt;/Refman&gt;</w:instrText>
      </w:r>
      <w:r w:rsidR="009B5648" w:rsidRPr="00B96EAD">
        <w:fldChar w:fldCharType="separate"/>
      </w:r>
      <w:r w:rsidRPr="00B96EAD">
        <w:rPr>
          <w:vertAlign w:val="superscript"/>
        </w:rPr>
        <w:t>24</w:t>
      </w:r>
      <w:r w:rsidR="009B5648" w:rsidRPr="00B96EAD">
        <w:fldChar w:fldCharType="end"/>
      </w:r>
      <w:r w:rsidRPr="00B96EAD">
        <w:t xml:space="preserve">  Another small study found that oral amoxicillin plus topical </w:t>
      </w:r>
      <w:proofErr w:type="spellStart"/>
      <w:r w:rsidRPr="00B96EAD">
        <w:t>chloramphenical</w:t>
      </w:r>
      <w:proofErr w:type="spellEnd"/>
      <w:r w:rsidRPr="00B96EAD">
        <w:t xml:space="preserve"> was not as effective as topical ciprofloxacin treatment.</w:t>
      </w:r>
      <w:r w:rsidR="009B5648" w:rsidRPr="00B96EAD">
        <w:fldChar w:fldCharType="begin"/>
      </w:r>
      <w:r w:rsidRPr="00B96EAD">
        <w:instrText xml:space="preserve"> ADDIN REFMGR.CITE &lt;Refman&gt;&lt;Cite&gt;&lt;Author&gt;Supiyaphun&lt;/Author&gt;&lt;Year&gt;2000&lt;/Year&gt;&lt;RecNum&gt;3837&lt;/RecNum&gt;&lt;IDText&gt;Comparison of ofloxacin otic solution with oral amoxycillin plus chloramphenicol ear drop in treatment of chronic suppurative otitis media with acute exacerbation&lt;/IDText&gt;&lt;MDL Ref_Type="Journal"&gt;&lt;Ref_Type&gt;Journal&lt;/Ref_Type&gt;&lt;Ref_ID&gt;3837&lt;/Ref_ID&gt;&lt;Title_Primary&gt;Comparison of ofloxacin otic solution with oral amoxycillin plus chloramphenicol ear drop in treatment of chronic suppurative otitis media with acute exacerbation&lt;/Title_Primary&gt;&lt;Authors_Primary&gt;Supiyaphun,P.&lt;/Authors_Primary&gt;&lt;Authors_Primary&gt;Kerekhanjanarong,V.&lt;/Authors_Primary&gt;&lt;Authors_Primary&gt;Koranasophonepun,J.&lt;/Authors_Primary&gt;&lt;Authors_Primary&gt;Sastarasadhit,V.&lt;/Authors_Primary&gt;&lt;Date_Primary&gt;2000/1&lt;/Date_Primary&gt;&lt;Keywords&gt;administration &amp;amp; dosage&lt;/Keywords&gt;&lt;Keywords&gt;Administration,Oral&lt;/Keywords&gt;&lt;Keywords&gt;Administration,Topical&lt;/Keywords&gt;&lt;Keywords&gt;Adolescent&lt;/Keywords&gt;&lt;Keywords&gt;Adult&lt;/Keywords&gt;&lt;Keywords&gt;Aged&lt;/Keywords&gt;&lt;Keywords&gt;Amoxicillin&lt;/Keywords&gt;&lt;Keywords&gt;Anti-Infective Agents&lt;/Keywords&gt;&lt;Keywords&gt;Bone Conduction&lt;/Keywords&gt;&lt;Keywords&gt;Chi-Square Distribution&lt;/Keywords&gt;&lt;Keywords&gt;Chloramphenicol&lt;/Keywords&gt;&lt;Keywords&gt;Chronic Disease&lt;/Keywords&gt;&lt;Keywords&gt;diagnosis&lt;/Keywords&gt;&lt;Keywords&gt;Double-Blind Method&lt;/Keywords&gt;&lt;Keywords&gt;drug therapy&lt;/Keywords&gt;&lt;Keywords&gt;Drug Therapy,Combination&lt;/Keywords&gt;&lt;Keywords&gt;Ear&lt;/Keywords&gt;&lt;Keywords&gt;Female&lt;/Keywords&gt;&lt;Keywords&gt;follow-up studies&lt;/Keywords&gt;&lt;Keywords&gt;Hearing&lt;/Keywords&gt;&lt;Keywords&gt;Hearing Loss&lt;/Keywords&gt;&lt;Keywords&gt;Humans&lt;/Keywords&gt;&lt;Keywords&gt;Inflammation&lt;/Keywords&gt;&lt;Keywords&gt;Male&lt;/Keywords&gt;&lt;Keywords&gt;Medicine&lt;/Keywords&gt;&lt;Keywords&gt;Middle Aged&lt;/Keywords&gt;&lt;Keywords&gt;Ofloxacin&lt;/Keywords&gt;&lt;Keywords&gt;otitis&lt;/Keywords&gt;&lt;Keywords&gt;otitis media&lt;/Keywords&gt;&lt;Keywords&gt;Otitis Media,Suppurative&lt;/Keywords&gt;&lt;Keywords&gt;Otolaryngology&lt;/Keywords&gt;&lt;Keywords&gt;Patients&lt;/Keywords&gt;&lt;Keywords&gt;Penicillins&lt;/Keywords&gt;&lt;Keywords&gt;Prospective Studies&lt;/Keywords&gt;&lt;Keywords&gt;Pseudomonas&lt;/Keywords&gt;&lt;Keywords&gt;Pseudomonas aeruginosa&lt;/Keywords&gt;&lt;Keywords&gt;Recurrence&lt;/Keywords&gt;&lt;Keywords&gt;Safety&lt;/Keywords&gt;&lt;Keywords&gt;Speech&lt;/Keywords&gt;&lt;Keywords&gt;Staphylococcus&lt;/Keywords&gt;&lt;Keywords&gt;Staphylococcus aureus&lt;/Keywords&gt;&lt;Keywords&gt;Treatment Outcome&lt;/Keywords&gt;&lt;Reprint&gt;Not in File&lt;/Reprint&gt;&lt;Start_Page&gt;61&lt;/Start_Page&gt;&lt;End_Page&gt;68&lt;/End_Page&gt;&lt;Periodical&gt;J.Med.Assoc.Thai.&lt;/Periodical&gt;&lt;Volume&gt;83&lt;/Volume&gt;&lt;Issue&gt;1&lt;/Issue&gt;&lt;ZZ_JournalStdAbbrev&gt;&lt;f name="System"&gt;J.Med.Assoc.Thai.&lt;/f&gt;&lt;/ZZ_JournalStdAbbrev&gt;&lt;ZZ_WorkformID&gt;1&lt;/ZZ_WorkformID&gt;&lt;/MDL&gt;&lt;/Cite&gt;&lt;/Refman&gt;</w:instrText>
      </w:r>
      <w:r w:rsidR="009B5648" w:rsidRPr="00B96EAD">
        <w:fldChar w:fldCharType="separate"/>
      </w:r>
      <w:r w:rsidRPr="00B96EAD">
        <w:rPr>
          <w:vertAlign w:val="superscript"/>
        </w:rPr>
        <w:t>25</w:t>
      </w:r>
      <w:r w:rsidR="009B5648" w:rsidRPr="00B96EAD">
        <w:fldChar w:fldCharType="end"/>
      </w:r>
      <w:r w:rsidRPr="00B96EAD">
        <w:t xml:space="preserve">  However, the only placebo-controlled trial found the addition of </w:t>
      </w:r>
      <w:proofErr w:type="spellStart"/>
      <w:r w:rsidRPr="00B96EAD">
        <w:t>cotrimoxazole</w:t>
      </w:r>
      <w:proofErr w:type="spellEnd"/>
      <w:r w:rsidRPr="00B96EAD">
        <w:t xml:space="preserve"> to topical aminoglycoside treatment reduced persistent discharge from ~50% to ~30% after 6 and 12 weeks of treatment.</w:t>
      </w:r>
      <w:r w:rsidR="009B5648" w:rsidRPr="00B96EAD">
        <w:fldChar w:fldCharType="begin"/>
      </w:r>
      <w:r w:rsidRPr="00B96EAD">
        <w:instrText xml:space="preserve"> ADDIN REFMGR.CITE &lt;Refman&gt;&lt;Cite&gt;&lt;Author&gt;van der Veen&lt;/Author&gt;&lt;Year&gt;2007&lt;/Year&gt;&lt;RecNum&gt;3364&lt;/RecNum&gt;&lt;IDText&gt;Effectiveness of trimethoprim/sulfamethoxazole for children with chronic active otitis media: a randomized, placebo-controlled trial&lt;/IDText&gt;&lt;MDL Ref_Type="Journal"&gt;&lt;Ref_Type&gt;Journal&lt;/Ref_Type&gt;&lt;Ref_ID&gt;3364&lt;/Ref_ID&gt;&lt;Title_Primary&gt;Effectiveness of trimethoprim/sulfamethoxazole for children with chronic active otitis media: a randomized, placebo-controlled trial&lt;/Title_Primary&gt;&lt;Authors_Primary&gt;van der Veen,E.L.&lt;/Authors_Primary&gt;&lt;Authors_Primary&gt;Rovers,M.M.&lt;/Authors_Primary&gt;&lt;Authors_Primary&gt;Albers,F.W.&lt;/Authors_Primary&gt;&lt;Authors_Primary&gt;Sanders,E.A.&lt;/Authors_Primary&gt;&lt;Authors_Primary&gt;Schilder,A.G.&lt;/Authors_Primary&gt;&lt;Date_Primary&gt;2007/5&lt;/Date_Primary&gt;&lt;Keywords&gt;administration&lt;/Keywords&gt;&lt;Keywords&gt;administration &amp;amp; dosage&lt;/Keywords&gt;&lt;Keywords&gt;antibiotic&lt;/Keywords&gt;&lt;Keywords&gt;Bacteria&lt;/Keywords&gt;&lt;Keywords&gt;Child&lt;/Keywords&gt;&lt;Keywords&gt;Child,Preschool&lt;/Keywords&gt;&lt;Keywords&gt;Chronic Disease&lt;/Keywords&gt;&lt;Keywords&gt;Comparative Study&lt;/Keywords&gt;&lt;Keywords&gt;controlled trial&lt;/Keywords&gt;&lt;Keywords&gt;Diarrhea&lt;/Keywords&gt;&lt;Keywords&gt;drug therapy&lt;/Keywords&gt;&lt;Keywords&gt;epidemiology&lt;/Keywords&gt;&lt;Keywords&gt;Female&lt;/Keywords&gt;&lt;Keywords&gt;follow-up studies&lt;/Keywords&gt;&lt;Keywords&gt;Hearing&lt;/Keywords&gt;&lt;Keywords&gt;Humans&lt;/Keywords&gt;&lt;Keywords&gt;Infant&lt;/Keywords&gt;&lt;Keywords&gt;Male&lt;/Keywords&gt;&lt;Keywords&gt;methods&lt;/Keywords&gt;&lt;Keywords&gt;Netherlands&lt;/Keywords&gt;&lt;Keywords&gt;otitis&lt;/Keywords&gt;&lt;Keywords&gt;otitis media&lt;/Keywords&gt;&lt;Keywords&gt;physiopathology&lt;/Keywords&gt;&lt;Keywords&gt;Pseudomonas&lt;/Keywords&gt;&lt;Keywords&gt;Pseudomonas aeruginosa&lt;/Keywords&gt;&lt;Keywords&gt;Quality of Life&lt;/Keywords&gt;&lt;Keywords&gt;randomized controlled trial&lt;/Keywords&gt;&lt;Keywords&gt;Research&lt;/Keywords&gt;&lt;Keywords&gt;Research Support&lt;/Keywords&gt;&lt;Keywords&gt;therapy&lt;/Keywords&gt;&lt;Keywords&gt;Time Factors&lt;/Keywords&gt;&lt;Keywords&gt;Trimethoprim Sulfamethoxazole Combination&lt;/Keywords&gt;&lt;Keywords&gt;Trimethoprim-Sulfamethoxazole Combination&lt;/Keywords&gt;&lt;Keywords&gt;Vomiting&lt;/Keywords&gt;&lt;Reprint&gt;Not in File&lt;/Reprint&gt;&lt;Start_Page&gt;897&lt;/Start_Page&gt;&lt;End_Page&gt;904&lt;/End_Page&gt;&lt;Periodical&gt;Pediatrics&lt;/Periodical&gt;&lt;Volume&gt;119&lt;/Volume&gt;&lt;Issue&gt;5&lt;/Issue&gt;&lt;Address&gt;Department of Otorhinolaryngology, Wilhelmina Children&amp;apos;s Hospital, University Medical Center Utrecht, Utrecht, Netherlands. e.l.vanderveen@umcutrecht.nl&lt;/Address&gt;&lt;Web_URL&gt;PM:17473089&lt;/Web_URL&gt;&lt;ZZ_JournalStdAbbrev&gt;&lt;f name="System"&gt;Pediatrics&lt;/f&gt;&lt;/ZZ_JournalStdAbbrev&gt;&lt;ZZ_WorkformID&gt;1&lt;/ZZ_WorkformID&gt;&lt;/MDL&gt;&lt;/Cite&gt;&lt;/Refman&gt;</w:instrText>
      </w:r>
      <w:r w:rsidR="009B5648" w:rsidRPr="00B96EAD">
        <w:fldChar w:fldCharType="separate"/>
      </w:r>
      <w:r w:rsidRPr="00B96EAD">
        <w:rPr>
          <w:vertAlign w:val="superscript"/>
        </w:rPr>
        <w:t>26</w:t>
      </w:r>
      <w:r w:rsidR="009B5648" w:rsidRPr="00B96EAD">
        <w:fldChar w:fldCharType="end"/>
      </w:r>
      <w:r w:rsidRPr="00B96EAD">
        <w:t xml:space="preserve">  </w:t>
      </w:r>
    </w:p>
    <w:p w:rsidR="00BA6265" w:rsidRPr="00B96EAD" w:rsidRDefault="00BA6265" w:rsidP="00660039">
      <w:pPr>
        <w:spacing w:after="120"/>
      </w:pPr>
      <w:r w:rsidRPr="00B96EAD">
        <w:t xml:space="preserve">Our previous randomised trial comparing topical treatments for CSOM found that </w:t>
      </w:r>
      <w:r w:rsidRPr="00B96EAD">
        <w:rPr>
          <w:i/>
        </w:rPr>
        <w:t xml:space="preserve">Staphylococcus </w:t>
      </w:r>
      <w:r w:rsidRPr="00B96EAD">
        <w:t>species were the commonly isolated pathogens in ear discharge after treatment (present in 75% of specimens).</w:t>
      </w:r>
      <w:r w:rsidR="009B5648" w:rsidRPr="00B96EAD">
        <w:fldChar w:fldCharType="begin"/>
      </w:r>
      <w:r w:rsidRPr="00B96EAD">
        <w:instrText xml:space="preserve"> ADDIN REFMGR.CITE &lt;Refman&gt;&lt;Cite&gt;&lt;Author&gt;Leach&lt;/Author&gt;&lt;Year&gt;2008&lt;/Year&gt;&lt;RecNum&gt;3367&lt;/RecNum&gt;&lt;IDText&gt;Topical ciprofloxin versus topical framycetin-gramicidin-dexamethasone in Australian aboriginal children with recently treated chronic suppurative otitis media: a randomized controlled trial&lt;/IDText&gt;&lt;MDL Ref_Type="Journal"&gt;&lt;Ref_Type&gt;Journal&lt;/Ref_Type&gt;&lt;Ref_ID&gt;3367&lt;/Ref_ID&gt;&lt;Title_Primary&gt;Topical ciprofloxin versus topical framycetin-gramicidin-dexamethasone in Australian aboriginal children with recently treated chronic suppurative otitis media: a randomized controlled trial&lt;/Title_Primary&gt;&lt;Authors_Primary&gt;Leach,A.&lt;/Authors_Primary&gt;&lt;Authors_Primary&gt;Wood,Y.&lt;/Authors_Primary&gt;&lt;Authors_Primary&gt;Gadil,E.&lt;/Authors_Primary&gt;&lt;Authors_Primary&gt;Stubbs,E.&lt;/Authors_Primary&gt;&lt;Authors_Primary&gt;Morris,P.&lt;/Authors_Primary&gt;&lt;Date_Primary&gt;2008/8&lt;/Date_Primary&gt;&lt;Keywords&gt;Aboriginal&lt;/Keywords&gt;&lt;Keywords&gt;antibiotic&lt;/Keywords&gt;&lt;Keywords&gt;Australia&lt;/Keywords&gt;&lt;Keywords&gt;Ciprofloxacin&lt;/Keywords&gt;&lt;Keywords&gt;complications&lt;/Keywords&gt;&lt;Keywords&gt;controlled trial&lt;/Keywords&gt;&lt;Keywords&gt;disadvantaged population&lt;/Keywords&gt;&lt;Keywords&gt;disadvantaged populations&lt;/Keywords&gt;&lt;Keywords&gt;Disease&lt;/Keywords&gt;&lt;Keywords&gt;Ear&lt;/Keywords&gt;&lt;Keywords&gt;Health&lt;/Keywords&gt;&lt;Keywords&gt;Hearing&lt;/Keywords&gt;&lt;Keywords&gt;Hearing Loss&lt;/Keywords&gt;&lt;Keywords&gt;methods&lt;/Keywords&gt;&lt;Keywords&gt;otitis&lt;/Keywords&gt;&lt;Keywords&gt;otitis media&lt;/Keywords&gt;&lt;Keywords&gt;Population&lt;/Keywords&gt;&lt;Keywords&gt;randomized controlled trial&lt;/Keywords&gt;&lt;Keywords&gt;Research&lt;/Keywords&gt;&lt;Keywords&gt;therapy&lt;/Keywords&gt;&lt;Keywords&gt;Tympanic Membrane&lt;/Keywords&gt;&lt;Reprint&gt;Not in File&lt;/Reprint&gt;&lt;Start_Page&gt;692&lt;/Start_Page&gt;&lt;End_Page&gt;698&lt;/End_Page&gt;&lt;Periodical&gt;Pediatr.Infect.Dis.J.&lt;/Periodical&gt;&lt;Volume&gt;27&lt;/Volume&gt;&lt;Issue&gt;8&lt;/Issue&gt;&lt;Address&gt;From the *Menzies School of Health Research, Darwin, Australia; daggerInstitute of Advanced Studies, Charles Darwin University; and double daggerNorthern Territory Clinical School, Flinders University, Darwin, Australia&lt;/Address&gt;&lt;Web_URL&gt;PM:18664984&lt;/Web_URL&gt;&lt;ZZ_JournalStdAbbrev&gt;&lt;f name="System"&gt;Pediatr.Infect.Dis.J.&lt;/f&gt;&lt;/ZZ_JournalStdAbbrev&gt;&lt;ZZ_WorkformID&gt;1&lt;/ZZ_WorkformID&gt;&lt;/MDL&gt;&lt;/Cite&gt;&lt;/Refman&gt;</w:instrText>
      </w:r>
      <w:r w:rsidR="009B5648" w:rsidRPr="00B96EAD">
        <w:fldChar w:fldCharType="separate"/>
      </w:r>
      <w:r w:rsidRPr="00B96EAD">
        <w:rPr>
          <w:vertAlign w:val="superscript"/>
        </w:rPr>
        <w:t>22</w:t>
      </w:r>
      <w:r w:rsidR="009B5648" w:rsidRPr="00B96EAD">
        <w:fldChar w:fldCharType="end"/>
      </w:r>
      <w:r w:rsidRPr="00B96EAD">
        <w:t xml:space="preserve"> In the Top End of the NT, around 20% of community acquired staphylococcal infections are resistant to methicillin (MRSA) and 20-30% of the remote community population is colonised.  </w:t>
      </w:r>
      <w:proofErr w:type="spellStart"/>
      <w:r w:rsidRPr="00B96EAD">
        <w:t>Cotrimoxazole</w:t>
      </w:r>
      <w:proofErr w:type="spellEnd"/>
      <w:r w:rsidRPr="00B96EAD">
        <w:t xml:space="preserve"> is recommended oral therapy for children with suspected community acquired MRSA infection. Our microbiological work</w:t>
      </w:r>
      <w:r>
        <w:t xml:space="preserve"> has also documented the importance</w:t>
      </w:r>
      <w:r w:rsidRPr="00B96EAD">
        <w:t xml:space="preserve"> of ongoing non-</w:t>
      </w:r>
      <w:proofErr w:type="spellStart"/>
      <w:r w:rsidRPr="00B96EAD">
        <w:t>typable</w:t>
      </w:r>
      <w:proofErr w:type="spellEnd"/>
      <w:r w:rsidRPr="00B96EAD">
        <w:t xml:space="preserve"> </w:t>
      </w:r>
      <w:proofErr w:type="spellStart"/>
      <w:r w:rsidRPr="00B96EAD">
        <w:rPr>
          <w:i/>
        </w:rPr>
        <w:t>Haemophilus</w:t>
      </w:r>
      <w:proofErr w:type="spellEnd"/>
      <w:r w:rsidRPr="00B96EAD">
        <w:rPr>
          <w:i/>
        </w:rPr>
        <w:t xml:space="preserve"> </w:t>
      </w:r>
      <w:proofErr w:type="spellStart"/>
      <w:r w:rsidRPr="00B96EAD">
        <w:rPr>
          <w:i/>
        </w:rPr>
        <w:t>influenzae</w:t>
      </w:r>
      <w:proofErr w:type="spellEnd"/>
      <w:r w:rsidRPr="00B96EAD">
        <w:t xml:space="preserve"> (</w:t>
      </w:r>
      <w:proofErr w:type="spellStart"/>
      <w:r w:rsidRPr="00B96EAD">
        <w:t>NTHi</w:t>
      </w:r>
      <w:proofErr w:type="spellEnd"/>
      <w:r w:rsidRPr="00B96EAD">
        <w:t xml:space="preserve">) infection of the middle ear discharge. </w:t>
      </w:r>
      <w:r w:rsidRPr="00B96EAD">
        <w:rPr>
          <w:bCs/>
          <w:spacing w:val="-3"/>
        </w:rPr>
        <w:t xml:space="preserve">In our most recent CSOM study, the following pathogens were isolated from </w:t>
      </w:r>
      <w:r w:rsidRPr="00B96EAD">
        <w:t xml:space="preserve">ear discharge: </w:t>
      </w:r>
      <w:proofErr w:type="spellStart"/>
      <w:r w:rsidRPr="00B96EAD">
        <w:t>NTHi</w:t>
      </w:r>
      <w:proofErr w:type="spellEnd"/>
      <w:r w:rsidRPr="00B96EAD">
        <w:t xml:space="preserve"> 68%,  pneumococcus 3%, </w:t>
      </w:r>
      <w:proofErr w:type="spellStart"/>
      <w:r w:rsidRPr="00B96EAD">
        <w:rPr>
          <w:i/>
        </w:rPr>
        <w:t>S.aureus</w:t>
      </w:r>
      <w:proofErr w:type="spellEnd"/>
      <w:r w:rsidRPr="00B96EAD">
        <w:t xml:space="preserve"> 24%, and </w:t>
      </w:r>
      <w:r w:rsidRPr="00B96EAD">
        <w:rPr>
          <w:i/>
        </w:rPr>
        <w:t>Pseudomonas</w:t>
      </w:r>
      <w:r w:rsidRPr="00B96EAD">
        <w:t xml:space="preserve"> 37%.</w:t>
      </w:r>
      <w:r w:rsidR="009B5648" w:rsidRPr="00B96EAD">
        <w:rPr>
          <w:bCs/>
          <w:spacing w:val="-3"/>
        </w:rPr>
        <w:fldChar w:fldCharType="begin"/>
      </w:r>
      <w:r w:rsidRPr="00B96EAD">
        <w:rPr>
          <w:bCs/>
          <w:spacing w:val="-3"/>
        </w:rPr>
        <w:instrText xml:space="preserve"> ADDIN REFMGR.CITE &lt;Refman&gt;&lt;Cite&gt;&lt;Author&gt;Stephen&lt;/Author&gt;&lt;Year&gt;2013&lt;/Year&gt;&lt;RecNum&gt;3852&lt;/RecNum&gt;&lt;IDText&gt;Unpublished PhD thesis.&lt;/IDText&gt;&lt;MDL Ref_Type="Book Chapter"&gt;&lt;Ref_Type&gt;Book Chapter&lt;/Ref_Type&gt;&lt;Ref_ID&gt;3852&lt;/Ref_ID&gt;&lt;Title_Primary&gt;Unpublished PhD thesis.&lt;/Title_Primary&gt;&lt;Authors_Primary&gt;Stephen,A&lt;/Authors_Primary&gt;&lt;Date_Primary&gt;2013&lt;/Date_Primary&gt;&lt;Reprint&gt;Not in File&lt;/Reprint&gt;&lt;ZZ_WorkformID&gt;3&lt;/ZZ_WorkformID&gt;&lt;/MDL&gt;&lt;/Cite&gt;&lt;/Refman&gt;</w:instrText>
      </w:r>
      <w:r w:rsidR="009B5648" w:rsidRPr="00B96EAD">
        <w:rPr>
          <w:bCs/>
          <w:spacing w:val="-3"/>
        </w:rPr>
        <w:fldChar w:fldCharType="separate"/>
      </w:r>
      <w:r w:rsidRPr="00B96EAD">
        <w:rPr>
          <w:bCs/>
          <w:spacing w:val="-3"/>
          <w:vertAlign w:val="superscript"/>
        </w:rPr>
        <w:t>17</w:t>
      </w:r>
      <w:r w:rsidR="009B5648" w:rsidRPr="00B96EAD">
        <w:rPr>
          <w:bCs/>
          <w:spacing w:val="-3"/>
        </w:rPr>
        <w:fldChar w:fldCharType="end"/>
      </w:r>
      <w:r w:rsidRPr="00B96EAD">
        <w:rPr>
          <w:bCs/>
          <w:spacing w:val="-3"/>
        </w:rPr>
        <w:t xml:space="preserve">  </w:t>
      </w:r>
      <w:r w:rsidRPr="00B96EAD">
        <w:t xml:space="preserve">Dense nasopharyngeal colonisation may contribute to recurrent exacerbations of CSOM, and suggests a potential role for oral antibiotics. The Dutch trial found that </w:t>
      </w:r>
      <w:proofErr w:type="spellStart"/>
      <w:r w:rsidRPr="00B96EAD">
        <w:t>cotrimoxazole</w:t>
      </w:r>
      <w:proofErr w:type="spellEnd"/>
      <w:r w:rsidRPr="00B96EAD">
        <w:t xml:space="preserve"> reduced the isolation of </w:t>
      </w:r>
      <w:proofErr w:type="spellStart"/>
      <w:r w:rsidRPr="00B96EAD">
        <w:rPr>
          <w:i/>
        </w:rPr>
        <w:t>Haemophilus</w:t>
      </w:r>
      <w:proofErr w:type="spellEnd"/>
      <w:r w:rsidRPr="00B96EAD">
        <w:t xml:space="preserve"> (and pneumococcus and </w:t>
      </w:r>
      <w:r w:rsidRPr="00B96EAD">
        <w:rPr>
          <w:i/>
        </w:rPr>
        <w:t>Moraxella</w:t>
      </w:r>
      <w:r w:rsidRPr="00B96EAD">
        <w:t>) in ear discharge.</w:t>
      </w:r>
      <w:r w:rsidRPr="00B96EAD">
        <w:rPr>
          <w:vertAlign w:val="superscript"/>
        </w:rPr>
        <w:t>26</w:t>
      </w:r>
      <w:r w:rsidRPr="00B96EAD">
        <w:t xml:space="preserve"> Isolation of </w:t>
      </w:r>
      <w:r w:rsidRPr="00B96EAD">
        <w:rPr>
          <w:i/>
        </w:rPr>
        <w:t>Pseudomonas</w:t>
      </w:r>
      <w:r w:rsidRPr="00B96EAD">
        <w:t xml:space="preserve"> was not affected.  </w:t>
      </w:r>
    </w:p>
    <w:p w:rsidR="00BA6265" w:rsidRPr="00B96EAD" w:rsidRDefault="00BA6265" w:rsidP="00660039">
      <w:pPr>
        <w:autoSpaceDE w:val="0"/>
        <w:autoSpaceDN w:val="0"/>
        <w:adjustRightInd w:val="0"/>
        <w:spacing w:after="120"/>
      </w:pPr>
      <w:r w:rsidRPr="00B96EAD">
        <w:t xml:space="preserve">Oral </w:t>
      </w:r>
      <w:proofErr w:type="spellStart"/>
      <w:r w:rsidRPr="00B96EAD">
        <w:t>cotrimoxazole</w:t>
      </w:r>
      <w:proofErr w:type="spellEnd"/>
      <w:r w:rsidRPr="00B96EAD">
        <w:t xml:space="preserve"> is a cheap, safe, and widely used antibiotic that is  effective in the treatment and prevention of acute otitis media.</w:t>
      </w:r>
      <w:r w:rsidR="009B5648" w:rsidRPr="00B96EAD">
        <w:fldChar w:fldCharType="begin"/>
      </w:r>
      <w:r w:rsidRPr="00B96EAD">
        <w:instrText xml:space="preserve"> ADDIN REFMGR.CITE &lt;Refman&gt;&lt;Cite&gt;&lt;Author&gt;Leach&lt;/Author&gt;&lt;Year&gt;2011&lt;/Year&gt;&lt;RecNum&gt;3331&lt;/RecNum&gt;&lt;IDText&gt;Antibiotics for the prevention of acute and chronic suppurative otitis media in children&lt;/IDText&gt;&lt;MDL Ref_Type="Journal"&gt;&lt;Ref_Type&gt;Journal&lt;/Ref_Type&gt;&lt;Ref_ID&gt;3331&lt;/Ref_ID&gt;&lt;Title_Primary&gt;Antibiotics for the prevention of acute and chronic suppurative otitis media in children&lt;/Title_Primary&gt;&lt;Authors_Primary&gt;Leach,A.J.&lt;/Authors_Primary&gt;&lt;Authors_Primary&gt;Morris,P.S.&lt;/Authors_Primary&gt;&lt;Date_Primary&gt;2011&lt;/Date_Primary&gt;&lt;Keywords&gt;Acute Disease&lt;/Keywords&gt;&lt;Keywords&gt;Adolescent&lt;/Keywords&gt;&lt;Keywords&gt;analysis&lt;/Keywords&gt;&lt;Keywords&gt;Anti-Bacterial Agents&lt;/Keywords&gt;&lt;Keywords&gt;antibiotic&lt;/Keywords&gt;&lt;Keywords&gt;antibiotic resistance&lt;/Keywords&gt;&lt;Keywords&gt;antibiotics&lt;/Keywords&gt;&lt;Keywords&gt;Australia&lt;/Keywords&gt;&lt;Keywords&gt;Child&lt;/Keywords&gt;&lt;Keywords&gt;Child,Preschool&lt;/Keywords&gt;&lt;Keywords&gt;Chronic Disease&lt;/Keywords&gt;&lt;Keywords&gt;Cochrane&lt;/Keywords&gt;&lt;Keywords&gt;controlled trial&lt;/Keywords&gt;&lt;Keywords&gt;controlled trials&lt;/Keywords&gt;&lt;Keywords&gt;Data Collection&lt;/Keywords&gt;&lt;Keywords&gt;Disease&lt;/Keywords&gt;&lt;Keywords&gt;drug therapy&lt;/Keywords&gt;&lt;Keywords&gt;Ear&lt;/Keywords&gt;&lt;Keywords&gt;education&lt;/Keywords&gt;&lt;Keywords&gt;Health&lt;/Keywords&gt;&lt;Keywords&gt;Humans&lt;/Keywords&gt;&lt;Keywords&gt;Incidence&lt;/Keywords&gt;&lt;Keywords&gt;Infant&lt;/Keywords&gt;&lt;Keywords&gt;Infant,Newborn&lt;/Keywords&gt;&lt;Keywords&gt;Infection&lt;/Keywords&gt;&lt;Keywords&gt;medline&lt;/Keywords&gt;&lt;Keywords&gt;Meta Analysis&lt;/Keywords&gt;&lt;Keywords&gt;meta-analysis&lt;/Keywords&gt;&lt;Keywords&gt;metaanalysis&lt;/Keywords&gt;&lt;Keywords&gt;Northern Territory&lt;/Keywords&gt;&lt;Keywords&gt;otitis&lt;/Keywords&gt;&lt;Keywords&gt;otitis media&lt;/Keywords&gt;&lt;Keywords&gt;Otitis Media,Suppurative&lt;/Keywords&gt;&lt;Keywords&gt;prevention &amp;amp; control&lt;/Keywords&gt;&lt;Keywords&gt;Probability&lt;/Keywords&gt;&lt;Keywords&gt;randomised controlled trial&lt;/Keywords&gt;&lt;Keywords&gt;randomised controlled trials&lt;/Keywords&gt;&lt;Keywords&gt;Randomized Controlled Trials as Topic&lt;/Keywords&gt;&lt;Keywords&gt;Recurrence&lt;/Keywords&gt;&lt;Keywords&gt;Research&lt;/Keywords&gt;&lt;Keywords&gt;Risk&lt;/Keywords&gt;&lt;Keywords&gt;therapeutic use&lt;/Keywords&gt;&lt;Keywords&gt;Tympanic Membrane&lt;/Keywords&gt;&lt;Keywords&gt;Tympanic Membrane Perforation&lt;/Keywords&gt;&lt;Reprint&gt;Not in File&lt;/Reprint&gt;&lt;Start_Page&gt;CD004401&lt;/Start_Page&gt;&lt;Periodical&gt;Cochrane.Database.Syst.Rev.&lt;/Periodical&gt;&lt;Issue&gt;4&lt;/Issue&gt;&lt;Address&gt;Menzies School of Health Research, Ear Health and Education Unit, Infectious Diseases Division, PO Box 41096, Casuarina, Northern Territory, Australia. amanda@menzies.edu.au&lt;/Address&gt;&lt;Web_URL&gt;PM:17054203&lt;/Web_URL&gt;&lt;ZZ_JournalStdAbbrev&gt;&lt;f name="System"&gt;Cochrane.Database.Syst.Rev.&lt;/f&gt;&lt;/ZZ_JournalStdAbbrev&gt;&lt;ZZ_WorkformID&gt;1&lt;/ZZ_WorkformID&gt;&lt;/MDL&gt;&lt;/Cite&gt;&lt;/Refman&gt;</w:instrText>
      </w:r>
      <w:r w:rsidR="009B5648" w:rsidRPr="00B96EAD">
        <w:fldChar w:fldCharType="separate"/>
      </w:r>
      <w:r w:rsidRPr="00B96EAD">
        <w:rPr>
          <w:vertAlign w:val="superscript"/>
        </w:rPr>
        <w:t>27</w:t>
      </w:r>
      <w:r w:rsidR="009B5648" w:rsidRPr="00B96EAD">
        <w:fldChar w:fldCharType="end"/>
      </w:r>
      <w:r w:rsidRPr="00B96EAD">
        <w:t xml:space="preserve">  It provides good theoretical coverage of the range of organisms associated with CSOM in children.  It also has the advantage that it comes in ready-made suspension and does not require refrigeration (a major challenge in settings where many families do not own a fridge).  </w:t>
      </w:r>
    </w:p>
    <w:p w:rsidR="00BA6265" w:rsidRDefault="00BA6265" w:rsidP="00660039">
      <w:pPr>
        <w:autoSpaceDE w:val="0"/>
        <w:autoSpaceDN w:val="0"/>
        <w:adjustRightInd w:val="0"/>
        <w:spacing w:after="120"/>
      </w:pPr>
      <w:r w:rsidRPr="00B96EAD">
        <w:t>We have chosen a treatment period of 16 weeks for several reasons.</w:t>
      </w:r>
      <w:r>
        <w:t xml:space="preserve">  </w:t>
      </w:r>
      <w:r w:rsidRPr="00B96EAD">
        <w:t xml:space="preserve">The largest RCT of CSOM treatment in African children found the greatest beneficial effect at this time point. This study </w:t>
      </w:r>
      <w:r w:rsidRPr="00B96EAD">
        <w:lastRenderedPageBreak/>
        <w:t>reported persistent discharge in 50% of children receiving cleaning plus topical antibiotics versus 80% in those receiving cleaning alone (or no treatment).</w:t>
      </w:r>
      <w:r w:rsidR="009B5648" w:rsidRPr="00B96EAD">
        <w:fldChar w:fldCharType="begin"/>
      </w:r>
      <w:r w:rsidRPr="00B96EAD">
        <w:instrText xml:space="preserve"> ADDIN REFMGR.CITE &lt;Refman&gt;&lt;Cite&gt;&lt;Author&gt;Smith&lt;/Author&gt;&lt;Year&gt;1996&lt;/Year&gt;&lt;RecNum&gt;890&lt;/RecNum&gt;&lt;IDText&gt;Randomised controlled trial of treatment of chronic suppurative otitis media in Kenyan schoolchildren [see comments]&lt;/IDText&gt;&lt;MDL Ref_Type="Journal"&gt;&lt;Ref_Type&gt;Journal&lt;/Ref_Type&gt;&lt;Ref_ID&gt;890&lt;/Ref_ID&gt;&lt;Title_Primary&gt;Randomised controlled trial of treatment of chronic suppurative otitis media in Kenyan schoolchildren [see comments]&lt;/Title_Primary&gt;&lt;Authors_Primary&gt;Smith,A.W.&lt;/Authors_Primary&gt;&lt;Authors_Primary&gt;Hatcher,J.&lt;/Authors_Primary&gt;&lt;Authors_Primary&gt;Mackenzie,I.J.&lt;/Authors_Primary&gt;&lt;Authors_Primary&gt;Thompson,S.&lt;/Authors_Primary&gt;&lt;Authors_Primary&gt;Bal,I.&lt;/Authors_Primary&gt;&lt;Authors_Primary&gt;Macharia,I.&lt;/Authors_Primary&gt;&lt;Authors_Primary&gt;Mugwe,P.&lt;/Authors_Primary&gt;&lt;Authors_Primary&gt;Okoth,Olende C.&lt;/Authors_Primary&gt;&lt;Authors_Primary&gt;Oburra,H.&lt;/Authors_Primary&gt;&lt;Authors_Primary&gt;Wanjohi,Z.&lt;/Authors_Primary&gt;&lt;Date_Primary&gt;1996/10/26&lt;/Date_Primary&gt;&lt;Keywords&gt;Adolescence&lt;/Keywords&gt;&lt;Keywords&gt;Audiometry&lt;/Keywords&gt;&lt;Keywords&gt;Child&lt;/Keywords&gt;&lt;Keywords&gt;Child,Preschool&lt;/Keywords&gt;&lt;Keywords&gt;Chronic Disease&lt;/Keywords&gt;&lt;Keywords&gt;Combined Modality Therapy&lt;/Keywords&gt;&lt;Keywords&gt;Dexamethasone therapeutic use&lt;/Keywords&gt;&lt;Keywords&gt;Drug Therapy,Combination&lt;/Keywords&gt;&lt;Keywords&gt;Glucocorticoids,Topical therapeutic use&lt;/Keywords&gt;&lt;Keywords&gt;Kenya&lt;/Keywords&gt;&lt;Keywords&gt;Treatment Outcome&lt;/Keywords&gt;&lt;Keywords&gt;Antibiotics therapeutic use&lt;/Keywords&gt;&lt;Keywords&gt;Otitis Media,Suppurative therapy&lt;/Keywords&gt;&lt;Keywords&gt;Comparative Study&lt;/Keywords&gt;&lt;Keywords&gt;Female&lt;/Keywords&gt;&lt;Keywords&gt;Human&lt;/Keywords&gt;&lt;Keywords&gt;Male&lt;/Keywords&gt;&lt;Keywords&gt;Support,Non U.S.Gov&amp;apos;t&lt;/Keywords&gt;&lt;Keywords&gt;randomised controlled trial&lt;/Keywords&gt;&lt;Keywords&gt;controlled trial&lt;/Keywords&gt;&lt;Keywords&gt;otitis&lt;/Keywords&gt;&lt;Keywords&gt;otitis media&lt;/Keywords&gt;&lt;Keywords&gt;Developing Countries&lt;/Keywords&gt;&lt;Keywords&gt;developing country&lt;/Keywords&gt;&lt;Keywords&gt;Hearing&lt;/Keywords&gt;&lt;Keywords&gt;methods&lt;/Keywords&gt;&lt;Keywords&gt;Aged&lt;/Keywords&gt;&lt;Keywords&gt;antibiotics&lt;/Keywords&gt;&lt;Keywords&gt;Steroids&lt;/Keywords&gt;&lt;Keywords&gt;Tympanic Membrane&lt;/Keywords&gt;&lt;Keywords&gt;WHO&lt;/Keywords&gt;&lt;Keywords&gt;Developed Countries&lt;/Keywords&gt;&lt;Reprint&gt;In File&lt;/Reprint&gt;&lt;Start_Page&gt;1128&lt;/Start_Page&gt;&lt;End_Page&gt;1133&lt;/End_Page&gt;&lt;Periodical&gt;Lancet&lt;/Periodical&gt;&lt;Volume&gt;348&lt;/Volume&gt;&lt;Issue&gt;9035&lt;/Issue&gt;&lt;ZZ_JournalFull&gt;&lt;f name="System"&gt;Lancet&lt;/f&gt;&lt;/ZZ_JournalFull&gt;&lt;ZZ_WorkformID&gt;1&lt;/ZZ_WorkformID&gt;&lt;/MDL&gt;&lt;/Cite&gt;&lt;/Refman&gt;</w:instrText>
      </w:r>
      <w:r w:rsidR="009B5648" w:rsidRPr="00B96EAD">
        <w:fldChar w:fldCharType="separate"/>
      </w:r>
      <w:r w:rsidRPr="00B96EAD">
        <w:rPr>
          <w:vertAlign w:val="superscript"/>
        </w:rPr>
        <w:t>28</w:t>
      </w:r>
      <w:r w:rsidR="009B5648" w:rsidRPr="00B96EAD">
        <w:fldChar w:fldCharType="end"/>
      </w:r>
      <w:r w:rsidRPr="00B96EAD">
        <w:t xml:space="preserve">  In the NT, referral for E</w:t>
      </w:r>
      <w:r>
        <w:t xml:space="preserve">ar, </w:t>
      </w:r>
      <w:r w:rsidRPr="00B96EAD">
        <w:t>N</w:t>
      </w:r>
      <w:r>
        <w:t xml:space="preserve">ose and </w:t>
      </w:r>
      <w:r w:rsidRPr="00B96EAD">
        <w:t>T</w:t>
      </w:r>
      <w:r>
        <w:t>hroat (ENT)</w:t>
      </w:r>
      <w:r w:rsidRPr="00B96EAD">
        <w:t xml:space="preserve"> review is recommended after treatment failure is confirmed at 16 weeks.</w:t>
      </w:r>
      <w:r w:rsidR="009B5648" w:rsidRPr="00B96EAD">
        <w:fldChar w:fldCharType="begin"/>
      </w:r>
      <w:r w:rsidRPr="00B96EAD">
        <w:instrText xml:space="preserve"> ADDIN REFMGR.CITE &lt;Refman&gt;&lt;Cite&gt;&lt;Author&gt;Morris&lt;/Author&gt;&lt;Year&gt;2011&lt;/Year&gt;&lt;RecNum&gt;3750&lt;/RecNum&gt;&lt;IDText&gt;Recommendations for Clinical Care Guidelines on the Management of Otitis Media in Aboriginal and Torres Strait Islander Populations (Updated 2010)&lt;/IDText&gt;&lt;MDL Ref_Type="Book, Whole"&gt;&lt;Ref_Type&gt;Book, Whole&lt;/Ref_Type&gt;&lt;Ref_ID&gt;3750&lt;/Ref_ID&gt;&lt;Title_Primary&gt;Recommendations for Clinical Care Guidelines on the Management of Otitis Media in Aboriginal and Torres Strait Islander Populations (Updated 2010)&lt;/Title_Primary&gt;&lt;Authors_Primary&gt;Morris,P&lt;/Authors_Primary&gt;&lt;Authors_Primary&gt;Leach,A&lt;/Authors_Primary&gt;&lt;Authors_Primary&gt;Shah,P&lt;/Authors_Primary&gt;&lt;Authors_Primary&gt;Nelson,S&lt;/Authors_Primary&gt;&lt;Authors_Primary&gt;Ananf,A&lt;/Authors_Primary&gt;&lt;Authors_Primary&gt;Daby,J&lt;/Authors_Primary&gt;&lt;Authors_Primary&gt;Allnutt,R&lt;/Authors_Primary&gt;&lt;Authors_Primary&gt;Bainbridge,D&lt;/Authors_Primary&gt;&lt;Authors_Primary&gt;Edwards,K&lt;/Authors_Primary&gt;&lt;Authors_Primary&gt;Patel,H&lt;/Authors_Primary&gt;&lt;Authors_Primary&gt;Torzillo,P&lt;/Authors_Primary&gt;&lt;Authors_Primary&gt;Boswell,J&lt;/Authors_Primary&gt;&lt;Authors_Primary&gt;Gunasekera,H&lt;/Authors_Primary&gt;&lt;Authors_Primary&gt;Currie,K&lt;/Authors_Primary&gt;&lt;Authors_Primary&gt;Harkus,S&lt;/Authors_Primary&gt;&lt;Authors_Primary&gt;Lehmann,D&lt;/Authors_Primary&gt;&lt;Authors_Primary&gt;Kong,K&lt;/Authors_Primary&gt;&lt;Authors_Primary&gt;Coates,H&lt;/Authors_Primary&gt;&lt;Authors_Primary&gt;O&amp;apos;Leary,S&lt;/Authors_Primary&gt;&lt;Authors_Primary&gt;Isaacs,D&lt;/Authors_Primary&gt;&lt;Authors_Primary&gt;Perry,C&lt;/Authors_Primary&gt;&lt;Date_Primary&gt;2011&lt;/Date_Primary&gt;&lt;Keywords&gt;Aboriginal&lt;/Keywords&gt;&lt;Keywords&gt;Guidelines&lt;/Keywords&gt;&lt;Keywords&gt;otitis&lt;/Keywords&gt;&lt;Keywords&gt;otitis media&lt;/Keywords&gt;&lt;Keywords&gt;Population&lt;/Keywords&gt;&lt;Reprint&gt;Not in File&lt;/Reprint&gt;&lt;Pub_Place&gt;Canberra&lt;/Pub_Place&gt;&lt;Publisher&gt;Commonwealth of Australia&lt;/Publisher&gt;&lt;Web_URL&gt;&lt;u&gt;http://www.health.gov.au/internet/main/publishing.nsf/Content/health-oatsih-pubs-omp.htm &lt;/u&gt;&lt;/Web_URL&gt;&lt;ZZ_WorkformID&gt;2&lt;/ZZ_WorkformID&gt;&lt;/MDL&gt;&lt;/Cite&gt;&lt;/Refman&gt;</w:instrText>
      </w:r>
      <w:r w:rsidR="009B5648" w:rsidRPr="00B96EAD">
        <w:fldChar w:fldCharType="separate"/>
      </w:r>
      <w:r w:rsidRPr="00B96EAD">
        <w:rPr>
          <w:vertAlign w:val="superscript"/>
        </w:rPr>
        <w:t>13</w:t>
      </w:r>
      <w:r w:rsidR="009B5648" w:rsidRPr="00B96EAD">
        <w:fldChar w:fldCharType="end"/>
      </w:r>
      <w:r w:rsidRPr="00B96EAD">
        <w:t xml:space="preserve">  We have previously shown that 6 months of </w:t>
      </w:r>
      <w:proofErr w:type="spellStart"/>
      <w:r w:rsidRPr="00B96EAD">
        <w:t>amoxycillin</w:t>
      </w:r>
      <w:proofErr w:type="spellEnd"/>
      <w:r w:rsidRPr="00B96EAD">
        <w:t xml:space="preserve"> (25mg/kg BD) will reduce the risk of discharging ears in infants.</w:t>
      </w:r>
      <w:r w:rsidR="009B5648" w:rsidRPr="00B96EAD">
        <w:fldChar w:fldCharType="begin"/>
      </w:r>
      <w:r w:rsidRPr="00B96EAD">
        <w:instrText xml:space="preserve"> ADDIN REFMGR.CITE &lt;Refman&gt;&lt;Cite&gt;&lt;Author&gt;Leach&lt;/Author&gt;&lt;Year&gt;2008&lt;/Year&gt;&lt;RecNum&gt;3258&lt;/RecNum&gt;&lt;IDText&gt;Compared to placebo, long-term antibiotics resolve otitis media with effusion (OME) and prevent acute otitis media with perforation (AOMwiP) in a high-risk population: a randomized controlled trial&lt;/IDText&gt;&lt;MDL Ref_Type="Journal"&gt;&lt;Ref_Type&gt;Journal&lt;/Ref_Type&gt;&lt;Ref_ID&gt;3258&lt;/Ref_ID&gt;&lt;Title_Primary&gt;Compared to placebo, long-term antibiotics resolve otitis media with effusion (OME) and prevent acute otitis media with perforation (AOMwiP) in a high-risk population: a randomized controlled trial&lt;/Title_Primary&gt;&lt;Authors_Primary&gt;Leach,A.J.&lt;/Authors_Primary&gt;&lt;Authors_Primary&gt;Morris,P.S.&lt;/Authors_Primary&gt;&lt;Authors_Primary&gt;Mathews,J.D.&lt;/Authors_Primary&gt;&lt;Date_Primary&gt;2008/6/2&lt;/Date_Primary&gt;&lt;Keywords&gt;Aboriginal&lt;/Keywords&gt;&lt;Keywords&gt;Amoxicillin&lt;/Keywords&gt;&lt;Keywords&gt;antibiotic&lt;/Keywords&gt;&lt;Keywords&gt;antibiotics&lt;/Keywords&gt;&lt;Keywords&gt;Australia&lt;/Keywords&gt;&lt;Keywords&gt;controlled trial&lt;/Keywords&gt;&lt;Keywords&gt;diagnosis&lt;/Keywords&gt;&lt;Keywords&gt;Ear&lt;/Keywords&gt;&lt;Keywords&gt;high risk population&lt;/Keywords&gt;&lt;Keywords&gt;Infant&lt;/Keywords&gt;&lt;Keywords&gt;methods&lt;/Keywords&gt;&lt;Keywords&gt;microbiology&lt;/Keywords&gt;&lt;Keywords&gt;otitis&lt;/Keywords&gt;&lt;Keywords&gt;otitis media&lt;/Keywords&gt;&lt;Keywords&gt;Otitis Media with Effusion&lt;/Keywords&gt;&lt;Keywords&gt;Population&lt;/Keywords&gt;&lt;Keywords&gt;randomized controlled trial&lt;/Keywords&gt;&lt;Keywords&gt;Risk&lt;/Keywords&gt;&lt;Keywords&gt;standards&lt;/Keywords&gt;&lt;Keywords&gt;therapy&lt;/Keywords&gt;&lt;Keywords&gt;WHO&lt;/Keywords&gt;&lt;Reprint&gt;Not in File&lt;/Reprint&gt;&lt;Start_Page&gt;23&lt;/Start_Page&gt;&lt;Periodical&gt;BMC.Pediatr.&lt;/Periodical&gt;&lt;Volume&gt;8&lt;/Volume&gt;&lt;Issue&gt;1&lt;/Issue&gt;&lt;Web_URL&gt;PM:18513453&lt;/Web_URL&gt;&lt;ZZ_JournalStdAbbrev&gt;&lt;f name="System"&gt;BMC.Pediatr.&lt;/f&gt;&lt;/ZZ_JournalStdAbbrev&gt;&lt;ZZ_WorkformID&gt;1&lt;/ZZ_WorkformID&gt;&lt;/MDL&gt;&lt;/Cite&gt;&lt;/Refman&gt;</w:instrText>
      </w:r>
      <w:r w:rsidR="009B5648" w:rsidRPr="00B96EAD">
        <w:fldChar w:fldCharType="separate"/>
      </w:r>
      <w:r w:rsidRPr="00B96EAD">
        <w:rPr>
          <w:vertAlign w:val="superscript"/>
        </w:rPr>
        <w:t>29</w:t>
      </w:r>
      <w:r w:rsidR="009B5648" w:rsidRPr="00B96EAD">
        <w:fldChar w:fldCharType="end"/>
      </w:r>
      <w:r w:rsidRPr="00B96EAD">
        <w:t xml:space="preserve"> The Dutch study found 12 weeks of </w:t>
      </w:r>
      <w:proofErr w:type="spellStart"/>
      <w:r w:rsidRPr="00B96EAD">
        <w:t>cotrimoxazole</w:t>
      </w:r>
      <w:proofErr w:type="spellEnd"/>
      <w:r w:rsidRPr="00B96EAD">
        <w:t xml:space="preserve"> was effective.</w:t>
      </w:r>
      <w:r w:rsidR="009B5648" w:rsidRPr="00B96EAD">
        <w:fldChar w:fldCharType="begin"/>
      </w:r>
      <w:r w:rsidRPr="00B96EAD">
        <w:instrText xml:space="preserve"> ADDIN REFMGR.CITE &lt;Refman&gt;&lt;Cite&gt;&lt;Author&gt;van der Veen&lt;/Author&gt;&lt;Year&gt;2007&lt;/Year&gt;&lt;RecNum&gt;3364&lt;/RecNum&gt;&lt;IDText&gt;Effectiveness of trimethoprim/sulfamethoxazole for children with chronic active otitis media: a randomized, placebo-controlled trial&lt;/IDText&gt;&lt;MDL Ref_Type="Journal"&gt;&lt;Ref_Type&gt;Journal&lt;/Ref_Type&gt;&lt;Ref_ID&gt;3364&lt;/Ref_ID&gt;&lt;Title_Primary&gt;Effectiveness of trimethoprim/sulfamethoxazole for children with chronic active otitis media: a randomized, placebo-controlled trial&lt;/Title_Primary&gt;&lt;Authors_Primary&gt;van der Veen,E.L.&lt;/Authors_Primary&gt;&lt;Authors_Primary&gt;Rovers,M.M.&lt;/Authors_Primary&gt;&lt;Authors_Primary&gt;Albers,F.W.&lt;/Authors_Primary&gt;&lt;Authors_Primary&gt;Sanders,E.A.&lt;/Authors_Primary&gt;&lt;Authors_Primary&gt;Schilder,A.G.&lt;/Authors_Primary&gt;&lt;Date_Primary&gt;2007/5&lt;/Date_Primary&gt;&lt;Keywords&gt;administration&lt;/Keywords&gt;&lt;Keywords&gt;administration &amp;amp; dosage&lt;/Keywords&gt;&lt;Keywords&gt;antibiotic&lt;/Keywords&gt;&lt;Keywords&gt;Bacteria&lt;/Keywords&gt;&lt;Keywords&gt;Child&lt;/Keywords&gt;&lt;Keywords&gt;Child,Preschool&lt;/Keywords&gt;&lt;Keywords&gt;Chronic Disease&lt;/Keywords&gt;&lt;Keywords&gt;Comparative Study&lt;/Keywords&gt;&lt;Keywords&gt;controlled trial&lt;/Keywords&gt;&lt;Keywords&gt;Diarrhea&lt;/Keywords&gt;&lt;Keywords&gt;drug therapy&lt;/Keywords&gt;&lt;Keywords&gt;epidemiology&lt;/Keywords&gt;&lt;Keywords&gt;Female&lt;/Keywords&gt;&lt;Keywords&gt;follow-up studies&lt;/Keywords&gt;&lt;Keywords&gt;Hearing&lt;/Keywords&gt;&lt;Keywords&gt;Humans&lt;/Keywords&gt;&lt;Keywords&gt;Infant&lt;/Keywords&gt;&lt;Keywords&gt;Male&lt;/Keywords&gt;&lt;Keywords&gt;methods&lt;/Keywords&gt;&lt;Keywords&gt;Netherlands&lt;/Keywords&gt;&lt;Keywords&gt;otitis&lt;/Keywords&gt;&lt;Keywords&gt;otitis media&lt;/Keywords&gt;&lt;Keywords&gt;physiopathology&lt;/Keywords&gt;&lt;Keywords&gt;Pseudomonas&lt;/Keywords&gt;&lt;Keywords&gt;Pseudomonas aeruginosa&lt;/Keywords&gt;&lt;Keywords&gt;Quality of Life&lt;/Keywords&gt;&lt;Keywords&gt;randomized controlled trial&lt;/Keywords&gt;&lt;Keywords&gt;Research&lt;/Keywords&gt;&lt;Keywords&gt;Research Support&lt;/Keywords&gt;&lt;Keywords&gt;therapy&lt;/Keywords&gt;&lt;Keywords&gt;Time Factors&lt;/Keywords&gt;&lt;Keywords&gt;Trimethoprim Sulfamethoxazole Combination&lt;/Keywords&gt;&lt;Keywords&gt;Trimethoprim-Sulfamethoxazole Combination&lt;/Keywords&gt;&lt;Keywords&gt;Vomiting&lt;/Keywords&gt;&lt;Reprint&gt;Not in File&lt;/Reprint&gt;&lt;Start_Page&gt;897&lt;/Start_Page&gt;&lt;End_Page&gt;904&lt;/End_Page&gt;&lt;Periodical&gt;Pediatrics&lt;/Periodical&gt;&lt;Volume&gt;119&lt;/Volume&gt;&lt;Issue&gt;5&lt;/Issue&gt;&lt;Address&gt;Department of Otorhinolaryngology, Wilhelmina Children&amp;apos;s Hospital, University Medical Center Utrecht, Utrecht, Netherlands. e.l.vanderveen@umcutrecht.nl&lt;/Address&gt;&lt;Web_URL&gt;PM:17473089&lt;/Web_URL&gt;&lt;ZZ_JournalStdAbbrev&gt;&lt;f name="System"&gt;Pediatrics&lt;/f&gt;&lt;/ZZ_JournalStdAbbrev&gt;&lt;ZZ_WorkformID&gt;1&lt;/ZZ_WorkformID&gt;&lt;/MDL&gt;&lt;/Cite&gt;&lt;/Refman&gt;</w:instrText>
      </w:r>
      <w:r w:rsidR="009B5648" w:rsidRPr="00B96EAD">
        <w:fldChar w:fldCharType="separate"/>
      </w:r>
      <w:r w:rsidRPr="00B96EAD">
        <w:rPr>
          <w:vertAlign w:val="superscript"/>
        </w:rPr>
        <w:t>26</w:t>
      </w:r>
      <w:r w:rsidR="009B5648" w:rsidRPr="00B96EAD">
        <w:fldChar w:fldCharType="end"/>
      </w:r>
      <w:r w:rsidRPr="00B96EAD">
        <w:t xml:space="preserve">  Finally, 16 weeks is also a reasonable time frame for preparation for </w:t>
      </w:r>
      <w:proofErr w:type="spellStart"/>
      <w:r w:rsidRPr="00B96EAD">
        <w:t>tympanoplasty</w:t>
      </w:r>
      <w:proofErr w:type="spellEnd"/>
      <w:r w:rsidRPr="00B96EAD">
        <w:t>. Currently, there is a preference for surgical repair of the tympanic membrane in older children with chronic perforations that are dry at time of surgery.</w:t>
      </w:r>
      <w:r w:rsidR="009B5648" w:rsidRPr="00B96EAD">
        <w:fldChar w:fldCharType="begin"/>
      </w:r>
      <w:r w:rsidRPr="00B96EAD">
        <w:instrText xml:space="preserve"> ADDIN REFMGR.CITE &lt;Refman&gt;&lt;Cite&gt;&lt;Author&gt;James&lt;/Author&gt;&lt;Year&gt;2012&lt;/Year&gt;&lt;RecNum&gt;3838&lt;/RecNum&gt;&lt;IDText&gt;Ten top considerations in pediatric tympanoplasty&lt;/IDText&gt;&lt;MDL Ref_Type="Journal"&gt;&lt;Ref_Type&gt;Journal&lt;/Ref_Type&gt;&lt;Ref_ID&gt;3838&lt;/Ref_ID&gt;&lt;Title_Primary&gt;Ten top considerations in pediatric tympanoplasty&lt;/Title_Primary&gt;&lt;Authors_Primary&gt;James,A.L.&lt;/Authors_Primary&gt;&lt;Authors_Primary&gt;Papsin,B.C.&lt;/Authors_Primary&gt;&lt;Date_Primary&gt;2012/12&lt;/Date_Primary&gt;&lt;Keywords&gt;Adult&lt;/Keywords&gt;&lt;Keywords&gt;Age Factors&lt;/Keywords&gt;&lt;Keywords&gt;Canada&lt;/Keywords&gt;&lt;Keywords&gt;Child&lt;/Keywords&gt;&lt;Keywords&gt;complications&lt;/Keywords&gt;&lt;Keywords&gt;contraindications&lt;/Keywords&gt;&lt;Keywords&gt;Craniofacial Abnormalities&lt;/Keywords&gt;&lt;Keywords&gt;Decision Making&lt;/Keywords&gt;&lt;Keywords&gt;etiology&lt;/Keywords&gt;&lt;Keywords&gt;Graft Rejection&lt;/Keywords&gt;&lt;Keywords&gt;Health Status&lt;/Keywords&gt;&lt;Keywords&gt;Hearing Loss,Unilateral&lt;/Keywords&gt;&lt;Keywords&gt;Humans&lt;/Keywords&gt;&lt;Keywords&gt;methods&lt;/Keywords&gt;&lt;Keywords&gt;pathology&lt;/Keywords&gt;&lt;Keywords&gt;surgery&lt;/Keywords&gt;&lt;Keywords&gt;Treatment Outcome&lt;/Keywords&gt;&lt;Keywords&gt;Tympanic Membrane Perforation&lt;/Keywords&gt;&lt;Keywords&gt;Tympanoplasty&lt;/Keywords&gt;&lt;Reprint&gt;Not in File&lt;/Reprint&gt;&lt;Start_Page&gt;992&lt;/Start_Page&gt;&lt;End_Page&gt;998&lt;/End_Page&gt;&lt;Periodical&gt;Otolaryngol.Head Neck Surg.&lt;/Periodical&gt;&lt;Volume&gt;147&lt;/Volume&gt;&lt;Issue&gt;6&lt;/Issue&gt;&lt;ZZ_JournalStdAbbrev&gt;&lt;f name="System"&gt;Otolaryngol.Head Neck Surg.&lt;/f&gt;&lt;/ZZ_JournalStdAbbrev&gt;&lt;ZZ_WorkformID&gt;1&lt;/ZZ_WorkformID&gt;&lt;/MDL&gt;&lt;/Cite&gt;&lt;/Refman&gt;</w:instrText>
      </w:r>
      <w:r w:rsidR="009B5648" w:rsidRPr="00B96EAD">
        <w:fldChar w:fldCharType="separate"/>
      </w:r>
      <w:r w:rsidRPr="00B96EAD">
        <w:rPr>
          <w:vertAlign w:val="superscript"/>
        </w:rPr>
        <w:t>30</w:t>
      </w:r>
      <w:r w:rsidR="009B5648" w:rsidRPr="00B96EAD">
        <w:fldChar w:fldCharType="end"/>
      </w:r>
    </w:p>
    <w:p w:rsidR="00BA6265" w:rsidRPr="00B96EAD" w:rsidRDefault="00BA6265" w:rsidP="001F40CA">
      <w:pPr>
        <w:pStyle w:val="Heading6"/>
      </w:pPr>
      <w:r w:rsidRPr="00B96EAD">
        <w:t>Feasibility of proposed research project</w:t>
      </w:r>
    </w:p>
    <w:p w:rsidR="00BA6265" w:rsidRPr="00B96EAD" w:rsidRDefault="00BA6265" w:rsidP="00660039">
      <w:r w:rsidRPr="00B96EAD">
        <w:t xml:space="preserve">The intervention to </w:t>
      </w:r>
      <w:proofErr w:type="gramStart"/>
      <w:r w:rsidRPr="00B96EAD">
        <w:t>Close</w:t>
      </w:r>
      <w:proofErr w:type="gramEnd"/>
      <w:r w:rsidRPr="00B96EAD">
        <w:t xml:space="preserve"> the Gap in Indigenous health has identified hearing health in remote Aboriginal communities of the NT as a priority. As a result, the NT Department of Health is currently implementing training for community workers in hearing health in Regional Development Sites.  Sound-proof hearing booths, </w:t>
      </w:r>
      <w:proofErr w:type="spellStart"/>
      <w:r w:rsidRPr="00B96EAD">
        <w:t>tympanometers</w:t>
      </w:r>
      <w:proofErr w:type="spellEnd"/>
      <w:r w:rsidRPr="00B96EAD">
        <w:t xml:space="preserve"> and video-</w:t>
      </w:r>
      <w:proofErr w:type="spellStart"/>
      <w:r w:rsidRPr="00B96EAD">
        <w:t>otoscopes</w:t>
      </w:r>
      <w:proofErr w:type="spellEnd"/>
      <w:r w:rsidRPr="00B96EAD">
        <w:t xml:space="preserve"> have also been provided.  The Department of Health Hearing Health Program Leader</w:t>
      </w:r>
      <w:r>
        <w:t xml:space="preserve"> (Sandra Nelson)</w:t>
      </w:r>
      <w:r w:rsidRPr="00B96EAD">
        <w:t xml:space="preserve"> is a C</w:t>
      </w:r>
      <w:r>
        <w:t xml:space="preserve">hief </w:t>
      </w:r>
      <w:r w:rsidRPr="00B96EAD">
        <w:t>I</w:t>
      </w:r>
      <w:r>
        <w:t>nvestigator (CI)</w:t>
      </w:r>
      <w:r w:rsidRPr="00B96EAD">
        <w:t xml:space="preserve"> on this study.  She has been overseeing the ear health program delivered to the participating communities for many years.  The senior ENT surgeon on the program is also a CI</w:t>
      </w:r>
      <w:r>
        <w:t xml:space="preserve"> (Harvey Coates)</w:t>
      </w:r>
      <w:r w:rsidRPr="00B96EAD">
        <w:t>.</w:t>
      </w:r>
      <w:r w:rsidRPr="00B96EAD">
        <w:rPr>
          <w:lang w:bidi="bn-BD"/>
        </w:rPr>
        <w:t xml:space="preserve">  The Menzies ear health team have previously collaborated on randomised trials with over 30 remote Aboriginal communities in the NT.</w:t>
      </w:r>
      <w:r w:rsidR="009B5648" w:rsidRPr="00B96EAD">
        <w:rPr>
          <w:lang w:bidi="bn-BD"/>
        </w:rPr>
        <w:fldChar w:fldCharType="begin"/>
      </w:r>
      <w:r w:rsidRPr="00B96EAD">
        <w:rPr>
          <w:lang w:bidi="bn-BD"/>
        </w:rPr>
        <w:instrText xml:space="preserve"> ADDIN REFMGR.CITE &lt;Refman&gt;&lt;Cite&gt;&lt;Author&gt;Slade&lt;/Author&gt;&lt;Year&gt;2011&lt;/Year&gt;&lt;RecNum&gt;3759&lt;/RecNum&gt;&lt;IDText&gt;Effect of health promotion and fluoride varnish on dental caries among Australian Aboriginal children: results from a community-randomized controlled trial&lt;/IDText&gt;&lt;MDL Ref_Type="Journal"&gt;&lt;Ref_Type&gt;Journal&lt;/Ref_Type&gt;&lt;Ref_ID&gt;3759&lt;/Ref_ID&gt;&lt;Title_Primary&gt;Effect of health promotion and fluoride varnish on dental caries among Australian Aboriginal children: results from a community-randomized controlled trial&lt;/Title_Primary&gt;&lt;Authors_Primary&gt;Slade,G.D.&lt;/Authors_Primary&gt;&lt;Authors_Primary&gt;Bailie,R.S.&lt;/Authors_Primary&gt;&lt;Authors_Primary&gt;Roberts-Thomson,K.&lt;/Authors_Primary&gt;&lt;Authors_Primary&gt;Leach,A.J.&lt;/Authors_Primary&gt;&lt;Authors_Primary&gt;Raye,I.&lt;/Authors_Primary&gt;&lt;Authors_Primary&gt;Endean,C.&lt;/Authors_Primary&gt;&lt;Authors_Primary&gt;Simmons,B.&lt;/Authors_Primary&gt;&lt;Authors_Primary&gt;Morris,P.&lt;/Authors_Primary&gt;&lt;Date_Primary&gt;2011/2&lt;/Date_Primary&gt;&lt;Keywords&gt;Aboriginal&lt;/Keywords&gt;&lt;Keywords&gt;Aged&lt;/Keywords&gt;&lt;Keywords&gt;Cariostatic Agents&lt;/Keywords&gt;&lt;Keywords&gt;Child&lt;/Keywords&gt;&lt;Keywords&gt;Cluster Analysis&lt;/Keywords&gt;&lt;Keywords&gt;controlled trial&lt;/Keywords&gt;&lt;Keywords&gt;Dental Caries&lt;/Keywords&gt;&lt;Keywords&gt;Dentistry&lt;/Keywords&gt;&lt;Keywords&gt;Ecology&lt;/Keywords&gt;&lt;Keywords&gt;epidemiology&lt;/Keywords&gt;&lt;Keywords&gt;Female&lt;/Keywords&gt;&lt;Keywords&gt;Fluorides,Topical&lt;/Keywords&gt;&lt;Keywords&gt;Health&lt;/Keywords&gt;&lt;Keywords&gt;Health Behavior&lt;/Keywords&gt;&lt;Keywords&gt;Health Education,Dental&lt;/Keywords&gt;&lt;Keywords&gt;Health Promotion&lt;/Keywords&gt;&lt;Keywords&gt;Health Services,Indigenous&lt;/Keywords&gt;&lt;Keywords&gt;Humans&lt;/Keywords&gt;&lt;Keywords&gt;Infant&lt;/Keywords&gt;&lt;Keywords&gt;Linear Models&lt;/Keywords&gt;&lt;Keywords&gt;Male&lt;/Keywords&gt;&lt;Keywords&gt;methods&lt;/Keywords&gt;&lt;Keywords&gt;North Carolina&lt;/Keywords&gt;&lt;Keywords&gt;Northern Territory&lt;/Keywords&gt;&lt;Keywords&gt;Oceanic Ancestry Group&lt;/Keywords&gt;&lt;Keywords&gt;organization &amp;amp; administration&lt;/Keywords&gt;&lt;Keywords&gt;prevention &amp;amp; control&lt;/Keywords&gt;&lt;Keywords&gt;Primary Health Care&lt;/Keywords&gt;&lt;Keywords&gt;Prospective Studies&lt;/Keywords&gt;&lt;Keywords&gt;randomized controlled trial&lt;/Keywords&gt;&lt;Keywords&gt;Research&lt;/Keywords&gt;&lt;Keywords&gt;Research Support&lt;/Keywords&gt;&lt;Keywords&gt;therapeutic use&lt;/Keywords&gt;&lt;Keywords&gt;Water&lt;/Keywords&gt;&lt;Reprint&gt;Not in File&lt;/Reprint&gt;&lt;Start_Page&gt;29&lt;/Start_Page&gt;&lt;End_Page&gt;43&lt;/End_Page&gt;&lt;Periodical&gt;Community Dent.Oral Epidemiol.&lt;/Periodical&gt;&lt;Volume&gt;39&lt;/Volume&gt;&lt;Issue&gt;1&lt;/Issue&gt;&lt;Address&gt;Department of Dental Ecology, School of Dentistry, University of North Carolina at Chapel Hill, Chapel Hill, NC 27599-7450, USA. gary_slade@dentistry.unc.edu&lt;/Address&gt;&lt;Web_URL&gt;PM:20707872&lt;/Web_URL&gt;&lt;ZZ_JournalStdAbbrev&gt;&lt;f name="System"&gt;Community Dent.Oral Epidemiol.&lt;/f&gt;&lt;/ZZ_JournalStdAbbrev&gt;&lt;ZZ_WorkformID&gt;1&lt;/ZZ_WorkformID&gt;&lt;/MDL&gt;&lt;/Cite&gt;&lt;Cite&gt;&lt;Author&gt;Morris&lt;/Author&gt;&lt;Year&gt;2010&lt;/Year&gt;&lt;RecNum&gt;3512&lt;/RecNum&gt;&lt;IDText&gt;Single-dose azithromycin versus seven days of amoxycillin in the treatment of acute otitis media in Aboriginal children (AATAAC): a double blind, randomised controlled trial&lt;/IDText&gt;&lt;MDL Ref_Type="Journal"&gt;&lt;Ref_Type&gt;Journal&lt;/Ref_Type&gt;&lt;Ref_ID&gt;3512&lt;/Ref_ID&gt;&lt;Title_Primary&gt;Single-dose azithromycin versus seven days of amoxycillin in the treatment of acute otitis media in Aboriginal children (AATAAC): a double blind, randomised controlled trial&lt;/Title_Primary&gt;&lt;Authors_Primary&gt;Morris,P.S.&lt;/Authors_Primary&gt;&lt;Authors_Primary&gt;Gadil,G.&lt;/Authors_Primary&gt;&lt;Authors_Primary&gt;McCallum,G.B.&lt;/Authors_Primary&gt;&lt;Authors_Primary&gt;Wilson,C.A.&lt;/Authors_Primary&gt;&lt;Authors_Primary&gt;Smith-Vaughan,H.C.&lt;/Authors_Primary&gt;&lt;Authors_Primary&gt;Torzillo,P.&lt;/Authors_Primary&gt;&lt;Authors_Primary&gt;Leach,A.J.&lt;/Authors_Primary&gt;&lt;Date_Primary&gt;2010/1/4&lt;/Date_Primary&gt;&lt;Keywords&gt;Aboriginal&lt;/Keywords&gt;&lt;Keywords&gt;Aged&lt;/Keywords&gt;&lt;Keywords&gt;Amoxicillin&lt;/Keywords&gt;&lt;Keywords&gt;Anti-Bacterial Agents&lt;/Keywords&gt;&lt;Keywords&gt;Australia&lt;/Keywords&gt;&lt;Keywords&gt;Azithromycin&lt;/Keywords&gt;&lt;Keywords&gt;Child&lt;/Keywords&gt;&lt;Keywords&gt;Child,Preschool&lt;/Keywords&gt;&lt;Keywords&gt;clinical trial&lt;/Keywords&gt;&lt;Keywords&gt;Clinical Trials&lt;/Keywords&gt;&lt;Keywords&gt;Confidence Intervals&lt;/Keywords&gt;&lt;Keywords&gt;controlled trial&lt;/Keywords&gt;&lt;Keywords&gt;Double-Blind Method&lt;/Keywords&gt;&lt;Keywords&gt;drug effects&lt;/Keywords&gt;&lt;Keywords&gt;drug therapy&lt;/Keywords&gt;&lt;Keywords&gt;ethnology&lt;/Keywords&gt;&lt;Keywords&gt;Female&lt;/Keywords&gt;&lt;Keywords&gt;Haemophilus&lt;/Keywords&gt;&lt;Keywords&gt;Haemophilus influenzae&lt;/Keywords&gt;&lt;Keywords&gt;Health&lt;/Keywords&gt;&lt;Keywords&gt;Humans&lt;/Keywords&gt;&lt;Keywords&gt;Infant&lt;/Keywords&gt;&lt;Keywords&gt;isolation &amp;amp; purification&lt;/Keywords&gt;&lt;Keywords&gt;Male&lt;/Keywords&gt;&lt;Keywords&gt;microbiology&lt;/Keywords&gt;&lt;Keywords&gt;Northern Territory&lt;/Keywords&gt;&lt;Keywords&gt;Nose&lt;/Keywords&gt;&lt;Keywords&gt;Oceanic Ancestry Group&lt;/Keywords&gt;&lt;Keywords&gt;Odds Ratio&lt;/Keywords&gt;&lt;Keywords&gt;otitis&lt;/Keywords&gt;&lt;Keywords&gt;otitis media&lt;/Keywords&gt;&lt;Keywords&gt;randomised controlled trial&lt;/Keywords&gt;&lt;Keywords&gt;randomized controlled trial&lt;/Keywords&gt;&lt;Keywords&gt;Registries&lt;/Keywords&gt;&lt;Keywords&gt;Research&lt;/Keywords&gt;&lt;Keywords&gt;Research Support&lt;/Keywords&gt;&lt;Keywords&gt;Risk&lt;/Keywords&gt;&lt;Keywords&gt;Streptococcus&lt;/Keywords&gt;&lt;Keywords&gt;Streptococcus pneumoniae&lt;/Keywords&gt;&lt;Keywords&gt;therapeutic use&lt;/Keywords&gt;&lt;Keywords&gt;therapy&lt;/Keywords&gt;&lt;Keywords&gt;Tympanic Membrane Perforation&lt;/Keywords&gt;&lt;Reprint&gt;Not in File&lt;/Reprint&gt;&lt;Start_Page&gt;24&lt;/Start_Page&gt;&lt;End_Page&gt;29&lt;/End_Page&gt;&lt;Periodical&gt;Med.J.Aust.&lt;/Periodical&gt;&lt;Volume&gt;192&lt;/Volume&gt;&lt;Issue&gt;1&lt;/Issue&gt;&lt;Address&gt;Child Health Division, Menzies School of Health Research, Darwin, NT, Australia&lt;/Address&gt;&lt;Web_URL&gt;PM:20047544&lt;/Web_URL&gt;&lt;ZZ_JournalStdAbbrev&gt;&lt;f name="System"&gt;Med.J.Aust.&lt;/f&gt;&lt;/ZZ_JournalStdAbbrev&gt;&lt;ZZ_WorkformID&gt;1&lt;/ZZ_WorkformID&gt;&lt;/MDL&gt;&lt;/Cite&gt;&lt;/Refman&gt;</w:instrText>
      </w:r>
      <w:r w:rsidR="009B5648" w:rsidRPr="00B96EAD">
        <w:rPr>
          <w:lang w:bidi="bn-BD"/>
        </w:rPr>
        <w:fldChar w:fldCharType="separate"/>
      </w:r>
      <w:r w:rsidRPr="00B96EAD">
        <w:rPr>
          <w:vertAlign w:val="superscript"/>
          <w:lang w:bidi="bn-BD"/>
        </w:rPr>
        <w:t>31, 32</w:t>
      </w:r>
      <w:r w:rsidR="009B5648" w:rsidRPr="00B96EAD">
        <w:rPr>
          <w:lang w:bidi="bn-BD"/>
        </w:rPr>
        <w:fldChar w:fldCharType="end"/>
      </w:r>
      <w:r w:rsidRPr="00B96EAD">
        <w:rPr>
          <w:lang w:bidi="bn-BD"/>
        </w:rPr>
        <w:t xml:space="preserve"> Fifteen communities participated in our most recent antibiotic randomised trial (Azithromycin for Asymptomatic Acute Otitis Media, AAAOM, NHMRC 436023).</w:t>
      </w:r>
      <w:r w:rsidRPr="00B96EAD">
        <w:t xml:space="preserve"> </w:t>
      </w:r>
    </w:p>
    <w:p w:rsidR="00BA6265" w:rsidRPr="00B96EAD" w:rsidRDefault="00BA6265" w:rsidP="00DE2E57">
      <w:pPr>
        <w:pStyle w:val="Heading6"/>
      </w:pPr>
      <w:r w:rsidRPr="00B96EAD">
        <w:t>RESEARCH PLAN</w:t>
      </w:r>
    </w:p>
    <w:p w:rsidR="00BA6265" w:rsidRPr="00B96EAD" w:rsidRDefault="00BA6265" w:rsidP="00DE2E57">
      <w:pPr>
        <w:pStyle w:val="Heading7"/>
      </w:pPr>
      <w:r w:rsidRPr="00B96EAD">
        <w:t>Setting</w:t>
      </w:r>
      <w:r w:rsidR="001F40CA">
        <w:t>:</w:t>
      </w:r>
    </w:p>
    <w:p w:rsidR="00BA6265" w:rsidRPr="00B96EAD" w:rsidRDefault="00BA6265" w:rsidP="00660039">
      <w:pPr>
        <w:autoSpaceDE w:val="0"/>
        <w:autoSpaceDN w:val="0"/>
        <w:adjustRightInd w:val="0"/>
        <w:spacing w:after="120"/>
      </w:pPr>
      <w:r w:rsidRPr="00B96EAD">
        <w:rPr>
          <w:lang w:bidi="bn-BD"/>
        </w:rPr>
        <w:t>The study will be conducted in 10-20 Aboriginal community health centres or Aboriginal Medical Services in Regional Development Sites of the Northern Territory. In these Regional Development/Health e-Town Sites training of Aboriginal Community Workers - Hearing (CWH) is under way and expected to be complete in 2014, and each has a sound-proof hearing booth, video-</w:t>
      </w:r>
      <w:proofErr w:type="spellStart"/>
      <w:r w:rsidRPr="00B96EAD">
        <w:rPr>
          <w:lang w:bidi="bn-BD"/>
        </w:rPr>
        <w:t>otoscopes</w:t>
      </w:r>
      <w:proofErr w:type="spellEnd"/>
      <w:r w:rsidRPr="00B96EAD">
        <w:rPr>
          <w:lang w:bidi="bn-BD"/>
        </w:rPr>
        <w:t xml:space="preserve">, </w:t>
      </w:r>
      <w:proofErr w:type="spellStart"/>
      <w:r w:rsidRPr="00B96EAD">
        <w:rPr>
          <w:lang w:bidi="bn-BD"/>
        </w:rPr>
        <w:t>tympanometers</w:t>
      </w:r>
      <w:proofErr w:type="spellEnd"/>
      <w:r w:rsidRPr="00B96EAD">
        <w:rPr>
          <w:lang w:bidi="bn-BD"/>
        </w:rPr>
        <w:t xml:space="preserve"> and audiometry equipment. </w:t>
      </w:r>
    </w:p>
    <w:p w:rsidR="00BA6265" w:rsidRPr="00B96EAD" w:rsidRDefault="00BA6265" w:rsidP="001F40CA">
      <w:pPr>
        <w:pStyle w:val="Heading6"/>
        <w:rPr>
          <w:lang w:bidi="bn-BD"/>
        </w:rPr>
      </w:pPr>
      <w:r w:rsidRPr="00B96EAD">
        <w:rPr>
          <w:lang w:bidi="bn-BD"/>
        </w:rPr>
        <w:t>Participants</w:t>
      </w:r>
      <w:r w:rsidR="001F40CA">
        <w:rPr>
          <w:lang w:bidi="bn-BD"/>
        </w:rPr>
        <w:t>:</w:t>
      </w:r>
    </w:p>
    <w:p w:rsidR="00BA6265" w:rsidRDefault="00BA6265" w:rsidP="008041C8">
      <w:pPr>
        <w:autoSpaceDE w:val="0"/>
        <w:autoSpaceDN w:val="0"/>
        <w:adjustRightInd w:val="0"/>
        <w:spacing w:after="120"/>
        <w:rPr>
          <w:b/>
          <w:lang w:bidi="bn-BD"/>
        </w:rPr>
      </w:pPr>
      <w:r w:rsidRPr="00B96EAD">
        <w:rPr>
          <w:lang w:bidi="bn-BD"/>
        </w:rPr>
        <w:t xml:space="preserve">All Aboriginal children aged &gt;6 months and &lt;17 years of age who are resident in participating communities will be eligible to be screened for CSOM.  Children most at risk of CSOM will be identified through electronic health record review of the Patient Care Information System (PCIS) and the </w:t>
      </w:r>
      <w:r w:rsidRPr="00B96EAD">
        <w:t>Hearing Health Information Management System (HHIMS).</w:t>
      </w:r>
      <w:r w:rsidRPr="00B96EAD">
        <w:rPr>
          <w:lang w:bidi="bn-BD"/>
        </w:rPr>
        <w:t xml:space="preserve">  We will target examination in around 2,000 children (Figure 1) (from a population of around 4,000 children).  Since we are targeting children who are known to be at high risk for CSOM, we anticipate identifying the condition in around 1/3 of these children.  We estimate that 2/3 of children with perforations will have active discharge.  Only children with a </w:t>
      </w:r>
      <w:r>
        <w:rPr>
          <w:lang w:bidi="bn-BD"/>
        </w:rPr>
        <w:t>tympanic membrane (</w:t>
      </w:r>
      <w:r w:rsidRPr="00B96EAD">
        <w:rPr>
          <w:lang w:bidi="bn-BD"/>
        </w:rPr>
        <w:t>TM</w:t>
      </w:r>
      <w:r>
        <w:rPr>
          <w:lang w:bidi="bn-BD"/>
        </w:rPr>
        <w:t>)</w:t>
      </w:r>
      <w:r w:rsidRPr="00B96EAD">
        <w:rPr>
          <w:lang w:bidi="bn-BD"/>
        </w:rPr>
        <w:t xml:space="preserve"> perforation and a diagnosis of CSOM in at least 1 ear will be eligible for randomisation.  The following children will be excluded:</w:t>
      </w:r>
      <w:r w:rsidRPr="00B96EAD" w:rsidDel="008410B6">
        <w:rPr>
          <w:lang w:bidi="bn-BD"/>
        </w:rPr>
        <w:t xml:space="preserve"> </w:t>
      </w:r>
      <w:r w:rsidRPr="00B96EAD">
        <w:rPr>
          <w:lang w:bidi="bn-BD"/>
        </w:rPr>
        <w:t xml:space="preserve">i) previously been randomised; ii) ciprofloxacin, </w:t>
      </w:r>
      <w:proofErr w:type="spellStart"/>
      <w:r w:rsidRPr="00B96EAD">
        <w:rPr>
          <w:lang w:bidi="bn-BD"/>
        </w:rPr>
        <w:t>cotrimoxazole</w:t>
      </w:r>
      <w:proofErr w:type="spellEnd"/>
      <w:r w:rsidRPr="00B96EAD">
        <w:rPr>
          <w:lang w:bidi="bn-BD"/>
        </w:rPr>
        <w:t xml:space="preserve"> or iodine allergy; iii) mastoid surgery in the preceding 12 months; iv) ear surgery scheduled in the next 4 months; v) congenital ear or hearing </w:t>
      </w:r>
      <w:r>
        <w:rPr>
          <w:lang w:bidi="bn-BD"/>
        </w:rPr>
        <w:t xml:space="preserve">problems; </w:t>
      </w:r>
      <w:r w:rsidRPr="00B96EAD">
        <w:rPr>
          <w:lang w:bidi="bn-BD"/>
        </w:rPr>
        <w:t>vi) known immunodeficiency</w:t>
      </w:r>
      <w:r>
        <w:rPr>
          <w:lang w:bidi="bn-BD"/>
        </w:rPr>
        <w:t xml:space="preserve">; or </w:t>
      </w:r>
      <w:r>
        <w:t>vii) pregnancy</w:t>
      </w:r>
      <w:r w:rsidRPr="00B96EAD">
        <w:rPr>
          <w:lang w:bidi="bn-BD"/>
        </w:rPr>
        <w:t>.</w:t>
      </w:r>
      <w:r w:rsidR="008041C8">
        <w:rPr>
          <w:b/>
          <w:lang w:bidi="bn-BD"/>
        </w:rPr>
        <w:t xml:space="preserve"> </w:t>
      </w:r>
    </w:p>
    <w:p w:rsidR="00BA6265" w:rsidRPr="00B96EAD" w:rsidRDefault="00BA6265" w:rsidP="001F40CA">
      <w:pPr>
        <w:pStyle w:val="Heading6"/>
        <w:rPr>
          <w:lang w:bidi="bn-BD"/>
        </w:rPr>
      </w:pPr>
      <w:r w:rsidRPr="00B96EAD">
        <w:rPr>
          <w:lang w:bidi="bn-BD"/>
        </w:rPr>
        <w:t>Consent</w:t>
      </w:r>
      <w:r w:rsidR="001F40CA">
        <w:rPr>
          <w:lang w:bidi="bn-BD"/>
        </w:rPr>
        <w:t>:</w:t>
      </w:r>
    </w:p>
    <w:p w:rsidR="00BA6265" w:rsidRPr="00B96EAD" w:rsidRDefault="00BA6265" w:rsidP="00660039">
      <w:pPr>
        <w:autoSpaceDE w:val="0"/>
        <w:autoSpaceDN w:val="0"/>
        <w:adjustRightInd w:val="0"/>
        <w:spacing w:after="120"/>
        <w:rPr>
          <w:lang w:bidi="bn-BD"/>
        </w:rPr>
      </w:pPr>
      <w:r w:rsidRPr="00B96EAD">
        <w:rPr>
          <w:lang w:bidi="bn-BD"/>
        </w:rPr>
        <w:t>Consent to participate in the prevalence survey and the randomised trial will be sought from the parents/guardians of children before examination.  Assent will be required of young people &gt;</w:t>
      </w:r>
      <w:r w:rsidRPr="00B96EAD">
        <w:rPr>
          <w:iCs/>
          <w:lang w:bidi="bn-BD"/>
        </w:rPr>
        <w:t>10 years old</w:t>
      </w:r>
      <w:r w:rsidRPr="00B96EAD">
        <w:rPr>
          <w:lang w:bidi="bn-BD"/>
        </w:rPr>
        <w:t xml:space="preserve">. Participating communities should have sufficient resources provided on the approach for the study in first language. Materials used for informed consent will be provided by the Darwin based staff utilising flip charts designed by Ms Katrina </w:t>
      </w:r>
      <w:proofErr w:type="spellStart"/>
      <w:r w:rsidRPr="00B96EAD">
        <w:rPr>
          <w:lang w:bidi="bn-BD"/>
        </w:rPr>
        <w:t>Hodson</w:t>
      </w:r>
      <w:proofErr w:type="spellEnd"/>
      <w:r w:rsidRPr="00B96EAD">
        <w:rPr>
          <w:lang w:bidi="bn-BD"/>
        </w:rPr>
        <w:t xml:space="preserve"> (Aboriginal Health Worker) that have been customised for all our recent OM studies.  These flip charts visually describe the study and explain the important features of a randomised controlled clinical trial. </w:t>
      </w:r>
    </w:p>
    <w:p w:rsidR="00BA6265" w:rsidRPr="00B96EAD" w:rsidRDefault="00BA6265" w:rsidP="001F40CA">
      <w:pPr>
        <w:pStyle w:val="Heading6"/>
        <w:rPr>
          <w:lang w:bidi="bn-BD"/>
        </w:rPr>
      </w:pPr>
      <w:r w:rsidRPr="00B96EAD">
        <w:rPr>
          <w:lang w:bidi="bn-BD"/>
        </w:rPr>
        <w:lastRenderedPageBreak/>
        <w:t>Randomisation</w:t>
      </w:r>
      <w:r w:rsidR="001F40CA">
        <w:rPr>
          <w:lang w:bidi="bn-BD"/>
        </w:rPr>
        <w:t>:</w:t>
      </w:r>
      <w:r w:rsidRPr="00B96EAD">
        <w:rPr>
          <w:lang w:bidi="bn-BD"/>
        </w:rPr>
        <w:t xml:space="preserve"> </w:t>
      </w:r>
    </w:p>
    <w:p w:rsidR="00BA6265" w:rsidRPr="00B96EAD" w:rsidRDefault="00BA6265" w:rsidP="00660039">
      <w:pPr>
        <w:autoSpaceDE w:val="0"/>
        <w:autoSpaceDN w:val="0"/>
        <w:adjustRightInd w:val="0"/>
        <w:rPr>
          <w:lang w:bidi="bn-BD"/>
        </w:rPr>
      </w:pPr>
      <w:r w:rsidRPr="00B96EAD">
        <w:rPr>
          <w:iCs/>
          <w:lang w:bidi="bn-BD"/>
        </w:rPr>
        <w:t xml:space="preserve">Each enrolled child with CSOM will be randomly allocated to receive one of four treatment regimens.  Each regimen consist of one of two topical treatments and one of two oral medication treatments).  </w:t>
      </w:r>
      <w:r w:rsidRPr="00B96EAD">
        <w:rPr>
          <w:lang w:bidi="bn-BD"/>
        </w:rPr>
        <w:t xml:space="preserve">Children will be stratified according to: i) community; and ii) age (&lt;3y; 3-10y; over 10y.  On consent of an eligible participant, the research team will open a double sealed sequentially numbered opaque envelope from the appropriate stratification group. This will contain the topical treatment  code and the oral medication treatment code.  </w:t>
      </w:r>
      <w:r w:rsidRPr="00B96EAD">
        <w:rPr>
          <w:iCs/>
          <w:lang w:bidi="bn-BD"/>
        </w:rPr>
        <w:t xml:space="preserve">These will be documented in their clinic records.  </w:t>
      </w:r>
      <w:r w:rsidRPr="00B96EAD">
        <w:rPr>
          <w:lang w:bidi="bn-BD"/>
        </w:rPr>
        <w:t>The allocation sequence will be concealed from all of the investigators throughout the study.  The treatment codes used in the study will be used by the study statistician (CI) to present outcomes by coded treatment group if requested by the Data Safety Monitoring Committee.</w:t>
      </w:r>
    </w:p>
    <w:p w:rsidR="00BA6265" w:rsidRDefault="00BA6265" w:rsidP="00660039">
      <w:pPr>
        <w:keepNext/>
        <w:autoSpaceDE w:val="0"/>
        <w:autoSpaceDN w:val="0"/>
        <w:adjustRightInd w:val="0"/>
        <w:rPr>
          <w:b/>
          <w:lang w:bidi="bn-BD"/>
        </w:rPr>
      </w:pPr>
    </w:p>
    <w:p w:rsidR="00BA6265" w:rsidRPr="001F40CA" w:rsidRDefault="00BA6265" w:rsidP="001F40CA">
      <w:pPr>
        <w:pStyle w:val="Heading5"/>
        <w:pBdr>
          <w:top w:val="none" w:sz="0" w:space="0" w:color="auto"/>
          <w:left w:val="none" w:sz="0" w:space="0" w:color="auto"/>
          <w:bottom w:val="none" w:sz="0" w:space="0" w:color="auto"/>
          <w:right w:val="none" w:sz="0" w:space="0" w:color="auto"/>
        </w:pBdr>
        <w:rPr>
          <w:lang w:bidi="bn-BD"/>
        </w:rPr>
      </w:pPr>
      <w:r w:rsidRPr="001F40CA">
        <w:rPr>
          <w:lang w:bidi="bn-BD"/>
        </w:rPr>
        <w:t xml:space="preserve">Figure 1: Flow diagram of study design for </w:t>
      </w:r>
      <w:r w:rsidRPr="001F40CA">
        <w:t>IHEAR BETA</w:t>
      </w:r>
    </w:p>
    <w:p w:rsidR="00BA6265" w:rsidRPr="00B96EAD" w:rsidRDefault="00BA6265" w:rsidP="00660039">
      <w:pPr>
        <w:autoSpaceDE w:val="0"/>
        <w:autoSpaceDN w:val="0"/>
        <w:adjustRightInd w:val="0"/>
        <w:rPr>
          <w:b/>
          <w:lang w:bidi="bn-BD"/>
        </w:rPr>
      </w:pPr>
    </w:p>
    <w:p w:rsidR="00BA6265" w:rsidRDefault="00406EC6" w:rsidP="008041C8">
      <w:pPr>
        <w:spacing w:after="600"/>
        <w:rPr>
          <w:b/>
          <w:lang w:bidi="bn-BD"/>
        </w:rPr>
      </w:pPr>
      <w:r>
        <w:rPr>
          <w:noProof/>
        </w:rPr>
        <mc:AlternateContent>
          <mc:Choice Requires="wpg">
            <w:drawing>
              <wp:inline distT="0" distB="0" distL="0" distR="0" wp14:anchorId="38EC548C" wp14:editId="5D74521A">
                <wp:extent cx="6248400" cy="5602605"/>
                <wp:effectExtent l="0" t="0" r="0" b="0"/>
                <wp:docPr id="19" name="Group 38" descr="Flow chart that identifies children at high risk for perforation." title="Figure 1: Flow diagram of study design fro IHEAR BETA"/>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48400" cy="5602605"/>
                          <a:chOff x="1680" y="1452"/>
                          <a:chExt cx="9840" cy="8823"/>
                        </a:xfrm>
                      </wpg:grpSpPr>
                      <wps:wsp>
                        <wps:cNvPr id="20" name="AutoShape 39"/>
                        <wps:cNvSpPr>
                          <a:spLocks noChangeAspect="1" noChangeArrowheads="1" noTextEdit="1"/>
                        </wps:cNvSpPr>
                        <wps:spPr bwMode="auto">
                          <a:xfrm>
                            <a:off x="1800" y="1452"/>
                            <a:ext cx="9720" cy="8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40" descr="line running from point to point" title="line"/>
                        <wps:cNvCnPr>
                          <a:cxnSpLocks noChangeShapeType="1"/>
                        </wps:cNvCnPr>
                        <wps:spPr bwMode="auto">
                          <a:xfrm>
                            <a:off x="7472" y="3145"/>
                            <a:ext cx="1" cy="3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41" descr="Perforated TM&#10;n=600&#10;" title="information box"/>
                        <wps:cNvSpPr txBox="1">
                          <a:spLocks noChangeArrowheads="1"/>
                        </wps:cNvSpPr>
                        <wps:spPr bwMode="auto">
                          <a:xfrm>
                            <a:off x="6537" y="3493"/>
                            <a:ext cx="1870" cy="606"/>
                          </a:xfrm>
                          <a:prstGeom prst="rect">
                            <a:avLst/>
                          </a:prstGeom>
                          <a:solidFill>
                            <a:srgbClr val="FFFFFF"/>
                          </a:solidFill>
                          <a:ln w="9525">
                            <a:solidFill>
                              <a:srgbClr val="000000"/>
                            </a:solidFill>
                            <a:miter lim="800000"/>
                            <a:headEnd/>
                            <a:tailEnd/>
                          </a:ln>
                        </wps:spPr>
                        <wps:txbx>
                          <w:txbxContent>
                            <w:p w:rsidR="00DB0295" w:rsidRPr="00634BF9" w:rsidRDefault="00DB0295" w:rsidP="00E201E5">
                              <w:pPr>
                                <w:jc w:val="center"/>
                                <w:rPr>
                                  <w:sz w:val="18"/>
                                  <w:szCs w:val="18"/>
                                </w:rPr>
                              </w:pPr>
                              <w:r w:rsidRPr="00634BF9">
                                <w:rPr>
                                  <w:sz w:val="18"/>
                                  <w:szCs w:val="18"/>
                                </w:rPr>
                                <w:t>Perforated TM</w:t>
                              </w:r>
                            </w:p>
                            <w:p w:rsidR="00DB0295" w:rsidRPr="00634BF9" w:rsidRDefault="00DB0295" w:rsidP="00E201E5">
                              <w:pPr>
                                <w:jc w:val="center"/>
                                <w:rPr>
                                  <w:sz w:val="18"/>
                                  <w:szCs w:val="18"/>
                                </w:rPr>
                              </w:pPr>
                              <w:r w:rsidRPr="00634BF9">
                                <w:rPr>
                                  <w:sz w:val="18"/>
                                  <w:szCs w:val="18"/>
                                </w:rPr>
                                <w:t>n=600</w:t>
                              </w:r>
                            </w:p>
                          </w:txbxContent>
                        </wps:txbx>
                        <wps:bodyPr rot="0" vert="horz" wrap="square" lIns="36000" tIns="36000" rIns="36000" bIns="36000" anchor="ctr" anchorCtr="0" upright="1">
                          <a:noAutofit/>
                        </wps:bodyPr>
                      </wps:wsp>
                      <wps:wsp>
                        <wps:cNvPr id="23" name="Text Box 42" descr=" Initial cleaning for diagnosis" title="information box"/>
                        <wps:cNvSpPr txBox="1">
                          <a:spLocks noChangeArrowheads="1"/>
                        </wps:cNvSpPr>
                        <wps:spPr bwMode="auto">
                          <a:xfrm>
                            <a:off x="6622" y="2541"/>
                            <a:ext cx="1701" cy="604"/>
                          </a:xfrm>
                          <a:prstGeom prst="rect">
                            <a:avLst/>
                          </a:prstGeom>
                          <a:solidFill>
                            <a:srgbClr val="FFFFFF"/>
                          </a:solidFill>
                          <a:ln w="9525">
                            <a:solidFill>
                              <a:srgbClr val="000000"/>
                            </a:solidFill>
                            <a:miter lim="800000"/>
                            <a:headEnd/>
                            <a:tailEnd/>
                          </a:ln>
                        </wps:spPr>
                        <wps:txbx>
                          <w:txbxContent>
                            <w:p w:rsidR="00DB0295" w:rsidRPr="00634BF9" w:rsidRDefault="00DB0295" w:rsidP="00E201E5">
                              <w:pPr>
                                <w:jc w:val="center"/>
                                <w:rPr>
                                  <w:sz w:val="18"/>
                                  <w:szCs w:val="18"/>
                                </w:rPr>
                              </w:pPr>
                              <w:r w:rsidRPr="00634BF9">
                                <w:rPr>
                                  <w:sz w:val="18"/>
                                  <w:szCs w:val="18"/>
                                </w:rPr>
                                <w:t xml:space="preserve"> Initial cleaning for diagnosis</w:t>
                              </w:r>
                            </w:p>
                            <w:p w:rsidR="00DB0295" w:rsidRDefault="00DB0295"/>
                          </w:txbxContent>
                        </wps:txbx>
                        <wps:bodyPr rot="0" vert="horz" wrap="square" lIns="36000" tIns="36000" rIns="36000" bIns="36000" anchor="ctr" anchorCtr="0" upright="1">
                          <a:noAutofit/>
                        </wps:bodyPr>
                      </wps:wsp>
                      <wps:wsp>
                        <wps:cNvPr id="24" name="AutoShape 43" descr="line running from point to point" title="line"/>
                        <wps:cNvCnPr>
                          <a:cxnSpLocks noChangeShapeType="1"/>
                        </wps:cNvCnPr>
                        <wps:spPr bwMode="auto">
                          <a:xfrm>
                            <a:off x="7472" y="4360"/>
                            <a:ext cx="192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44" descr=" Dry perforation n=200" title="information box"/>
                        <wps:cNvSpPr txBox="1">
                          <a:spLocks noChangeArrowheads="1"/>
                        </wps:cNvSpPr>
                        <wps:spPr bwMode="auto">
                          <a:xfrm>
                            <a:off x="9384" y="4067"/>
                            <a:ext cx="1695" cy="586"/>
                          </a:xfrm>
                          <a:prstGeom prst="rect">
                            <a:avLst/>
                          </a:prstGeom>
                          <a:solidFill>
                            <a:srgbClr val="FFFFFF"/>
                          </a:solidFill>
                          <a:ln w="9525">
                            <a:solidFill>
                              <a:srgbClr val="000000"/>
                            </a:solidFill>
                            <a:miter lim="800000"/>
                            <a:headEnd/>
                            <a:tailEnd/>
                          </a:ln>
                        </wps:spPr>
                        <wps:txbx>
                          <w:txbxContent>
                            <w:p w:rsidR="00DB0295" w:rsidRPr="00634BF9" w:rsidRDefault="00DB0295" w:rsidP="00E201E5">
                              <w:pPr>
                                <w:jc w:val="center"/>
                                <w:rPr>
                                  <w:sz w:val="18"/>
                                  <w:szCs w:val="18"/>
                                </w:rPr>
                              </w:pPr>
                              <w:r w:rsidRPr="00634BF9">
                                <w:rPr>
                                  <w:sz w:val="18"/>
                                  <w:szCs w:val="18"/>
                                </w:rPr>
                                <w:t xml:space="preserve"> Dry perforation</w:t>
                              </w:r>
                              <w:r>
                                <w:rPr>
                                  <w:sz w:val="18"/>
                                  <w:szCs w:val="18"/>
                                </w:rPr>
                                <w:t xml:space="preserve"> n=200</w:t>
                              </w:r>
                            </w:p>
                          </w:txbxContent>
                        </wps:txbx>
                        <wps:bodyPr rot="0" vert="horz" wrap="square" lIns="36000" tIns="36000" rIns="36000" bIns="36000" anchor="ctr" anchorCtr="0" upright="1">
                          <a:noAutofit/>
                        </wps:bodyPr>
                      </wps:wsp>
                      <wps:wsp>
                        <wps:cNvPr id="26" name="Text Box 45" descr="Discharging perforation (CSOM)&#10;n=400&#10;Assume 70% eligible&#10;" title="information box"/>
                        <wps:cNvSpPr txBox="1">
                          <a:spLocks noChangeArrowheads="1"/>
                        </wps:cNvSpPr>
                        <wps:spPr bwMode="auto">
                          <a:xfrm>
                            <a:off x="5685" y="4726"/>
                            <a:ext cx="3574" cy="815"/>
                          </a:xfrm>
                          <a:prstGeom prst="rect">
                            <a:avLst/>
                          </a:prstGeom>
                          <a:solidFill>
                            <a:srgbClr val="FFFFFF"/>
                          </a:solidFill>
                          <a:ln w="9525">
                            <a:solidFill>
                              <a:srgbClr val="000000"/>
                            </a:solidFill>
                            <a:miter lim="800000"/>
                            <a:headEnd/>
                            <a:tailEnd/>
                          </a:ln>
                        </wps:spPr>
                        <wps:txbx>
                          <w:txbxContent>
                            <w:p w:rsidR="00DB0295" w:rsidRPr="00634BF9" w:rsidRDefault="00DB0295" w:rsidP="00E201E5">
                              <w:pPr>
                                <w:jc w:val="center"/>
                                <w:rPr>
                                  <w:sz w:val="18"/>
                                  <w:szCs w:val="18"/>
                                </w:rPr>
                              </w:pPr>
                              <w:r w:rsidRPr="00634BF9">
                                <w:rPr>
                                  <w:sz w:val="18"/>
                                  <w:szCs w:val="18"/>
                                </w:rPr>
                                <w:t>Discharging perforation</w:t>
                              </w:r>
                              <w:r>
                                <w:rPr>
                                  <w:sz w:val="18"/>
                                  <w:szCs w:val="18"/>
                                </w:rPr>
                                <w:t xml:space="preserve"> (CSOM)</w:t>
                              </w:r>
                            </w:p>
                            <w:p w:rsidR="00DB0295" w:rsidRDefault="00DB0295" w:rsidP="00E201E5">
                              <w:pPr>
                                <w:jc w:val="center"/>
                                <w:rPr>
                                  <w:sz w:val="18"/>
                                  <w:szCs w:val="18"/>
                                </w:rPr>
                              </w:pPr>
                              <w:r w:rsidRPr="00634BF9">
                                <w:rPr>
                                  <w:sz w:val="18"/>
                                  <w:szCs w:val="18"/>
                                </w:rPr>
                                <w:t>n=4</w:t>
                              </w:r>
                              <w:r>
                                <w:rPr>
                                  <w:sz w:val="18"/>
                                  <w:szCs w:val="18"/>
                                </w:rPr>
                                <w:t>0</w:t>
                              </w:r>
                              <w:r w:rsidRPr="00634BF9">
                                <w:rPr>
                                  <w:sz w:val="18"/>
                                  <w:szCs w:val="18"/>
                                </w:rPr>
                                <w:t>0</w:t>
                              </w:r>
                            </w:p>
                            <w:p w:rsidR="00DB0295" w:rsidRPr="00634BF9" w:rsidRDefault="00DB0295" w:rsidP="00E201E5">
                              <w:pPr>
                                <w:jc w:val="center"/>
                                <w:rPr>
                                  <w:sz w:val="18"/>
                                  <w:szCs w:val="18"/>
                                </w:rPr>
                              </w:pPr>
                              <w:r>
                                <w:rPr>
                                  <w:sz w:val="18"/>
                                  <w:szCs w:val="18"/>
                                </w:rPr>
                                <w:t>Assume 70% eligible</w:t>
                              </w:r>
                            </w:p>
                          </w:txbxContent>
                        </wps:txbx>
                        <wps:bodyPr rot="0" vert="horz" wrap="square" lIns="36000" tIns="36000" rIns="36000" bIns="36000" anchor="ctr" anchorCtr="0" upright="1">
                          <a:noAutofit/>
                        </wps:bodyPr>
                      </wps:wsp>
                      <wps:wsp>
                        <wps:cNvPr id="27" name="Text Box 46" descr="Identify children at high risk for perforation on PCIS by current or previous perforation &#10;n = 2000 &#10;" title="information box"/>
                        <wps:cNvSpPr txBox="1">
                          <a:spLocks noChangeArrowheads="1"/>
                        </wps:cNvSpPr>
                        <wps:spPr bwMode="auto">
                          <a:xfrm>
                            <a:off x="5685" y="1452"/>
                            <a:ext cx="3574" cy="741"/>
                          </a:xfrm>
                          <a:prstGeom prst="rect">
                            <a:avLst/>
                          </a:prstGeom>
                          <a:solidFill>
                            <a:srgbClr val="FFFFFF"/>
                          </a:solidFill>
                          <a:ln w="9525">
                            <a:solidFill>
                              <a:srgbClr val="000000"/>
                            </a:solidFill>
                            <a:miter lim="800000"/>
                            <a:headEnd/>
                            <a:tailEnd/>
                          </a:ln>
                        </wps:spPr>
                        <wps:txbx>
                          <w:txbxContent>
                            <w:p w:rsidR="00DB0295" w:rsidRDefault="00DB0295" w:rsidP="00E201E5">
                              <w:pPr>
                                <w:jc w:val="center"/>
                                <w:rPr>
                                  <w:sz w:val="18"/>
                                  <w:szCs w:val="18"/>
                                </w:rPr>
                              </w:pPr>
                              <w:r w:rsidRPr="00634BF9">
                                <w:rPr>
                                  <w:sz w:val="18"/>
                                  <w:szCs w:val="18"/>
                                </w:rPr>
                                <w:t xml:space="preserve">Identify children at high risk for perforation on PCIS by current or previous perforation </w:t>
                              </w:r>
                            </w:p>
                            <w:p w:rsidR="00DB0295" w:rsidRPr="00634BF9" w:rsidRDefault="00DB0295" w:rsidP="00E201E5">
                              <w:pPr>
                                <w:jc w:val="center"/>
                                <w:rPr>
                                  <w:sz w:val="18"/>
                                  <w:szCs w:val="18"/>
                                </w:rPr>
                              </w:pPr>
                              <w:r w:rsidRPr="00634BF9">
                                <w:rPr>
                                  <w:sz w:val="18"/>
                                  <w:szCs w:val="18"/>
                                </w:rPr>
                                <w:t xml:space="preserve">n = 2000 </w:t>
                              </w:r>
                            </w:p>
                          </w:txbxContent>
                        </wps:txbx>
                        <wps:bodyPr rot="0" vert="horz" wrap="square" lIns="36000" tIns="36000" rIns="36000" bIns="36000" anchor="ctr" anchorCtr="0" upright="1">
                          <a:noAutofit/>
                        </wps:bodyPr>
                      </wps:wsp>
                      <wps:wsp>
                        <wps:cNvPr id="28" name="Text Box 47" descr="RANDOMISE n= 280" title="information box"/>
                        <wps:cNvSpPr txBox="1">
                          <a:spLocks noChangeArrowheads="1"/>
                        </wps:cNvSpPr>
                        <wps:spPr bwMode="auto">
                          <a:xfrm>
                            <a:off x="5885" y="6501"/>
                            <a:ext cx="3175" cy="407"/>
                          </a:xfrm>
                          <a:prstGeom prst="rect">
                            <a:avLst/>
                          </a:prstGeom>
                          <a:solidFill>
                            <a:srgbClr val="FFFFFF"/>
                          </a:solidFill>
                          <a:ln w="9525">
                            <a:solidFill>
                              <a:srgbClr val="000000"/>
                            </a:solidFill>
                            <a:miter lim="800000"/>
                            <a:headEnd/>
                            <a:tailEnd/>
                          </a:ln>
                        </wps:spPr>
                        <wps:txbx>
                          <w:txbxContent>
                            <w:p w:rsidR="00DB0295" w:rsidRPr="00634BF9" w:rsidRDefault="00DB0295" w:rsidP="00E201E5">
                              <w:pPr>
                                <w:jc w:val="center"/>
                                <w:rPr>
                                  <w:b/>
                                  <w:sz w:val="20"/>
                                  <w:szCs w:val="20"/>
                                </w:rPr>
                              </w:pPr>
                              <w:r w:rsidRPr="00634BF9">
                                <w:rPr>
                                  <w:b/>
                                  <w:sz w:val="20"/>
                                  <w:szCs w:val="20"/>
                                </w:rPr>
                                <w:t>RANDOMISE</w:t>
                              </w:r>
                              <w:r>
                                <w:rPr>
                                  <w:b/>
                                  <w:sz w:val="20"/>
                                  <w:szCs w:val="20"/>
                                </w:rPr>
                                <w:t xml:space="preserve"> n</w:t>
                              </w:r>
                              <w:r w:rsidRPr="00B1016F">
                                <w:rPr>
                                  <w:b/>
                                  <w:sz w:val="20"/>
                                  <w:szCs w:val="20"/>
                                </w:rPr>
                                <w:t>= 280</w:t>
                              </w:r>
                            </w:p>
                          </w:txbxContent>
                        </wps:txbx>
                        <wps:bodyPr rot="0" vert="horz" wrap="square" lIns="36000" tIns="36000" rIns="36000" bIns="36000" anchor="ctr" anchorCtr="0" upright="1">
                          <a:noAutofit/>
                        </wps:bodyPr>
                      </wps:wsp>
                      <wps:wsp>
                        <wps:cNvPr id="29" name="AutoShape 48" descr="line running from point to point" title="line"/>
                        <wps:cNvCnPr>
                          <a:cxnSpLocks noChangeShapeType="1"/>
                        </wps:cNvCnPr>
                        <wps:spPr bwMode="auto">
                          <a:xfrm>
                            <a:off x="7472" y="6124"/>
                            <a:ext cx="193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49" descr="Excluded (n=1200)&#10;-criteria&#10;-decline&#10;-other&#10;" title="information box"/>
                        <wps:cNvSpPr txBox="1">
                          <a:spLocks noChangeArrowheads="1"/>
                        </wps:cNvSpPr>
                        <wps:spPr bwMode="auto">
                          <a:xfrm>
                            <a:off x="9362" y="5600"/>
                            <a:ext cx="1740" cy="1048"/>
                          </a:xfrm>
                          <a:prstGeom prst="rect">
                            <a:avLst/>
                          </a:prstGeom>
                          <a:solidFill>
                            <a:srgbClr val="FFFFFF"/>
                          </a:solidFill>
                          <a:ln w="9525">
                            <a:solidFill>
                              <a:srgbClr val="000000"/>
                            </a:solidFill>
                            <a:miter lim="800000"/>
                            <a:headEnd/>
                            <a:tailEnd/>
                          </a:ln>
                        </wps:spPr>
                        <wps:txbx>
                          <w:txbxContent>
                            <w:p w:rsidR="00DB0295" w:rsidRDefault="00DB0295" w:rsidP="00E201E5">
                              <w:pPr>
                                <w:jc w:val="center"/>
                                <w:rPr>
                                  <w:sz w:val="18"/>
                                  <w:szCs w:val="18"/>
                                </w:rPr>
                              </w:pPr>
                              <w:r>
                                <w:rPr>
                                  <w:sz w:val="18"/>
                                  <w:szCs w:val="18"/>
                                </w:rPr>
                                <w:t>Excluded (n=1200)</w:t>
                              </w:r>
                            </w:p>
                            <w:p w:rsidR="00DB0295" w:rsidRDefault="00DB0295" w:rsidP="00E201E5">
                              <w:pPr>
                                <w:jc w:val="center"/>
                                <w:rPr>
                                  <w:sz w:val="18"/>
                                  <w:szCs w:val="18"/>
                                </w:rPr>
                              </w:pPr>
                              <w:r>
                                <w:rPr>
                                  <w:sz w:val="18"/>
                                  <w:szCs w:val="18"/>
                                </w:rPr>
                                <w:t>-criteria</w:t>
                              </w:r>
                            </w:p>
                            <w:p w:rsidR="00DB0295" w:rsidRDefault="00DB0295" w:rsidP="00E201E5">
                              <w:pPr>
                                <w:jc w:val="center"/>
                                <w:rPr>
                                  <w:sz w:val="18"/>
                                  <w:szCs w:val="18"/>
                                </w:rPr>
                              </w:pPr>
                              <w:r>
                                <w:rPr>
                                  <w:sz w:val="18"/>
                                  <w:szCs w:val="18"/>
                                </w:rPr>
                                <w:t>-decline</w:t>
                              </w:r>
                            </w:p>
                            <w:p w:rsidR="00DB0295" w:rsidRPr="00634BF9" w:rsidRDefault="00DB0295" w:rsidP="00E201E5">
                              <w:pPr>
                                <w:jc w:val="center"/>
                                <w:rPr>
                                  <w:sz w:val="18"/>
                                  <w:szCs w:val="18"/>
                                </w:rPr>
                              </w:pPr>
                              <w:r>
                                <w:rPr>
                                  <w:sz w:val="18"/>
                                  <w:szCs w:val="18"/>
                                </w:rPr>
                                <w:t>-other</w:t>
                              </w:r>
                            </w:p>
                          </w:txbxContent>
                        </wps:txbx>
                        <wps:bodyPr rot="0" vert="horz" wrap="square" lIns="36000" tIns="36000" rIns="36000" bIns="36000" anchor="ctr" anchorCtr="0" upright="1">
                          <a:noAutofit/>
                        </wps:bodyPr>
                      </wps:wsp>
                      <wpg:grpSp>
                        <wpg:cNvPr id="31" name="Group 50"/>
                        <wpg:cNvGrpSpPr>
                          <a:grpSpLocks/>
                        </wpg:cNvGrpSpPr>
                        <wpg:grpSpPr bwMode="auto">
                          <a:xfrm>
                            <a:off x="3465" y="7264"/>
                            <a:ext cx="8015" cy="1724"/>
                            <a:chOff x="3465" y="7264"/>
                            <a:chExt cx="8015" cy="1724"/>
                          </a:xfrm>
                        </wpg:grpSpPr>
                        <wpg:grpSp>
                          <wpg:cNvPr id="32" name="Group 51"/>
                          <wpg:cNvGrpSpPr>
                            <a:grpSpLocks/>
                          </wpg:cNvGrpSpPr>
                          <wpg:grpSpPr bwMode="auto">
                            <a:xfrm>
                              <a:off x="3465" y="7266"/>
                              <a:ext cx="1786" cy="1719"/>
                              <a:chOff x="3465" y="7269"/>
                              <a:chExt cx="1786" cy="1719"/>
                            </a:xfrm>
                          </wpg:grpSpPr>
                          <wps:wsp>
                            <wps:cNvPr id="33" name="Text Box 52" descr="Betadine wash, &#10;Oral cotrimoxazole&#10;(0.5ml/kg bd) &#10;n= 70&#10;" title="information box"/>
                            <wps:cNvSpPr txBox="1">
                              <a:spLocks noChangeArrowheads="1"/>
                            </wps:cNvSpPr>
                            <wps:spPr bwMode="auto">
                              <a:xfrm>
                                <a:off x="3465" y="7637"/>
                                <a:ext cx="1786" cy="980"/>
                              </a:xfrm>
                              <a:prstGeom prst="rect">
                                <a:avLst/>
                              </a:prstGeom>
                              <a:solidFill>
                                <a:srgbClr val="FFFFFF"/>
                              </a:solidFill>
                              <a:ln w="9525">
                                <a:solidFill>
                                  <a:srgbClr val="000000"/>
                                </a:solidFill>
                                <a:miter lim="800000"/>
                                <a:headEnd/>
                                <a:tailEnd/>
                              </a:ln>
                            </wps:spPr>
                            <wps:txbx>
                              <w:txbxContent>
                                <w:p w:rsidR="00DB0295" w:rsidRDefault="00DB0295" w:rsidP="00E201E5">
                                  <w:pPr>
                                    <w:jc w:val="center"/>
                                    <w:rPr>
                                      <w:sz w:val="18"/>
                                      <w:szCs w:val="18"/>
                                    </w:rPr>
                                  </w:pPr>
                                  <w:proofErr w:type="spellStart"/>
                                  <w:r w:rsidRPr="00634BF9">
                                    <w:rPr>
                                      <w:sz w:val="18"/>
                                      <w:szCs w:val="18"/>
                                    </w:rPr>
                                    <w:t>Betadine</w:t>
                                  </w:r>
                                  <w:proofErr w:type="spellEnd"/>
                                  <w:r w:rsidRPr="00634BF9">
                                    <w:rPr>
                                      <w:sz w:val="18"/>
                                      <w:szCs w:val="18"/>
                                    </w:rPr>
                                    <w:t xml:space="preserve"> wash, </w:t>
                                  </w:r>
                                </w:p>
                                <w:p w:rsidR="00DB0295" w:rsidRDefault="00DB0295" w:rsidP="00E201E5">
                                  <w:pPr>
                                    <w:jc w:val="center"/>
                                    <w:rPr>
                                      <w:sz w:val="18"/>
                                      <w:szCs w:val="18"/>
                                    </w:rPr>
                                  </w:pPr>
                                  <w:r>
                                    <w:rPr>
                                      <w:sz w:val="18"/>
                                      <w:szCs w:val="18"/>
                                    </w:rPr>
                                    <w:t xml:space="preserve">Oral </w:t>
                                  </w:r>
                                  <w:proofErr w:type="spellStart"/>
                                  <w:r>
                                    <w:rPr>
                                      <w:sz w:val="18"/>
                                      <w:szCs w:val="18"/>
                                    </w:rPr>
                                    <w:t>cotrimoxazole</w:t>
                                  </w:r>
                                  <w:proofErr w:type="spellEnd"/>
                                </w:p>
                                <w:p w:rsidR="00DB0295" w:rsidRPr="00634BF9" w:rsidRDefault="00DB0295" w:rsidP="00E201E5">
                                  <w:pPr>
                                    <w:jc w:val="center"/>
                                    <w:rPr>
                                      <w:sz w:val="18"/>
                                      <w:szCs w:val="18"/>
                                    </w:rPr>
                                  </w:pPr>
                                  <w:r>
                                    <w:rPr>
                                      <w:sz w:val="18"/>
                                      <w:szCs w:val="18"/>
                                    </w:rPr>
                                    <w:t xml:space="preserve">(0.5ml/kg </w:t>
                                  </w:r>
                                  <w:proofErr w:type="spellStart"/>
                                  <w:r>
                                    <w:rPr>
                                      <w:sz w:val="18"/>
                                      <w:szCs w:val="18"/>
                                    </w:rPr>
                                    <w:t>bd</w:t>
                                  </w:r>
                                  <w:proofErr w:type="spellEnd"/>
                                  <w:r>
                                    <w:rPr>
                                      <w:sz w:val="18"/>
                                      <w:szCs w:val="18"/>
                                    </w:rPr>
                                    <w:t>)</w:t>
                                  </w:r>
                                  <w:r w:rsidRPr="00634BF9">
                                    <w:rPr>
                                      <w:sz w:val="18"/>
                                      <w:szCs w:val="18"/>
                                    </w:rPr>
                                    <w:t xml:space="preserve"> </w:t>
                                  </w:r>
                                </w:p>
                                <w:p w:rsidR="00DB0295" w:rsidRPr="00634BF9" w:rsidRDefault="00DB0295" w:rsidP="00E201E5">
                                  <w:pPr>
                                    <w:jc w:val="center"/>
                                    <w:rPr>
                                      <w:sz w:val="18"/>
                                      <w:szCs w:val="18"/>
                                    </w:rPr>
                                  </w:pPr>
                                  <w:r w:rsidRPr="00634BF9">
                                    <w:rPr>
                                      <w:sz w:val="18"/>
                                      <w:szCs w:val="18"/>
                                    </w:rPr>
                                    <w:t xml:space="preserve">n= </w:t>
                                  </w:r>
                                  <w:r>
                                    <w:rPr>
                                      <w:sz w:val="18"/>
                                      <w:szCs w:val="18"/>
                                    </w:rPr>
                                    <w:t>70</w:t>
                                  </w:r>
                                </w:p>
                              </w:txbxContent>
                            </wps:txbx>
                            <wps:bodyPr rot="0" vert="horz" wrap="square" lIns="36000" tIns="36000" rIns="36000" bIns="36000" anchor="ctr" anchorCtr="0" upright="1">
                              <a:noAutofit/>
                            </wps:bodyPr>
                          </wps:wsp>
                          <wps:wsp>
                            <wps:cNvPr id="34" name="Line 53" descr="line running from point to point" title="line"/>
                            <wps:cNvCnPr/>
                            <wps:spPr bwMode="auto">
                              <a:xfrm flipH="1">
                                <a:off x="4357" y="7269"/>
                                <a:ext cx="1"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54" descr="line running from point to point" title="line"/>
                            <wps:cNvCnPr/>
                            <wps:spPr bwMode="auto">
                              <a:xfrm flipH="1">
                                <a:off x="4356" y="8618"/>
                                <a:ext cx="3" cy="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55"/>
                          <wpg:cNvGrpSpPr>
                            <a:grpSpLocks/>
                          </wpg:cNvGrpSpPr>
                          <wpg:grpSpPr bwMode="auto">
                            <a:xfrm>
                              <a:off x="5587" y="7267"/>
                              <a:ext cx="1684" cy="1718"/>
                              <a:chOff x="5587" y="7270"/>
                              <a:chExt cx="1684" cy="1718"/>
                            </a:xfrm>
                          </wpg:grpSpPr>
                          <wps:wsp>
                            <wps:cNvPr id="37" name="Text Box 56" descr="Betadine wash, &#10;Oral placebo&#10;(0.5ml/kg bd) &#10;n= 70&#10;" title="information box"/>
                            <wps:cNvSpPr txBox="1">
                              <a:spLocks noChangeArrowheads="1"/>
                            </wps:cNvSpPr>
                            <wps:spPr bwMode="auto">
                              <a:xfrm>
                                <a:off x="5587" y="7637"/>
                                <a:ext cx="1684" cy="980"/>
                              </a:xfrm>
                              <a:prstGeom prst="rect">
                                <a:avLst/>
                              </a:prstGeom>
                              <a:solidFill>
                                <a:srgbClr val="FFFFFF"/>
                              </a:solidFill>
                              <a:ln w="9525">
                                <a:solidFill>
                                  <a:srgbClr val="000000"/>
                                </a:solidFill>
                                <a:miter lim="800000"/>
                                <a:headEnd/>
                                <a:tailEnd/>
                              </a:ln>
                            </wps:spPr>
                            <wps:txbx>
                              <w:txbxContent>
                                <w:p w:rsidR="00DB0295" w:rsidRDefault="00DB0295" w:rsidP="00E201E5">
                                  <w:pPr>
                                    <w:jc w:val="center"/>
                                    <w:rPr>
                                      <w:sz w:val="18"/>
                                      <w:szCs w:val="18"/>
                                    </w:rPr>
                                  </w:pPr>
                                  <w:proofErr w:type="spellStart"/>
                                  <w:r w:rsidRPr="00634BF9">
                                    <w:rPr>
                                      <w:sz w:val="18"/>
                                      <w:szCs w:val="18"/>
                                    </w:rPr>
                                    <w:t>Betadine</w:t>
                                  </w:r>
                                  <w:proofErr w:type="spellEnd"/>
                                  <w:r w:rsidRPr="00634BF9">
                                    <w:rPr>
                                      <w:sz w:val="18"/>
                                      <w:szCs w:val="18"/>
                                    </w:rPr>
                                    <w:t xml:space="preserve"> wash, </w:t>
                                  </w:r>
                                </w:p>
                                <w:p w:rsidR="00DB0295" w:rsidRDefault="00DB0295" w:rsidP="00E201E5">
                                  <w:pPr>
                                    <w:jc w:val="center"/>
                                    <w:rPr>
                                      <w:sz w:val="18"/>
                                      <w:szCs w:val="18"/>
                                    </w:rPr>
                                  </w:pPr>
                                  <w:r>
                                    <w:rPr>
                                      <w:sz w:val="18"/>
                                      <w:szCs w:val="18"/>
                                    </w:rPr>
                                    <w:t>Oral placebo</w:t>
                                  </w:r>
                                </w:p>
                                <w:p w:rsidR="00DB0295" w:rsidRPr="00634BF9" w:rsidRDefault="00DB0295" w:rsidP="00E201E5">
                                  <w:pPr>
                                    <w:jc w:val="center"/>
                                    <w:rPr>
                                      <w:sz w:val="18"/>
                                      <w:szCs w:val="18"/>
                                    </w:rPr>
                                  </w:pPr>
                                  <w:r>
                                    <w:rPr>
                                      <w:sz w:val="18"/>
                                      <w:szCs w:val="18"/>
                                    </w:rPr>
                                    <w:t xml:space="preserve">(0.5ml/kg </w:t>
                                  </w:r>
                                  <w:proofErr w:type="spellStart"/>
                                  <w:r>
                                    <w:rPr>
                                      <w:sz w:val="18"/>
                                      <w:szCs w:val="18"/>
                                    </w:rPr>
                                    <w:t>bd</w:t>
                                  </w:r>
                                  <w:proofErr w:type="spellEnd"/>
                                  <w:r>
                                    <w:rPr>
                                      <w:sz w:val="18"/>
                                      <w:szCs w:val="18"/>
                                    </w:rPr>
                                    <w:t>)</w:t>
                                  </w:r>
                                  <w:r w:rsidRPr="00634BF9">
                                    <w:rPr>
                                      <w:sz w:val="18"/>
                                      <w:szCs w:val="18"/>
                                    </w:rPr>
                                    <w:t xml:space="preserve"> </w:t>
                                  </w:r>
                                </w:p>
                                <w:p w:rsidR="00DB0295" w:rsidRPr="00634BF9" w:rsidRDefault="00DB0295" w:rsidP="00E201E5">
                                  <w:pPr>
                                    <w:jc w:val="center"/>
                                    <w:rPr>
                                      <w:sz w:val="18"/>
                                      <w:szCs w:val="18"/>
                                    </w:rPr>
                                  </w:pPr>
                                  <w:r w:rsidRPr="00634BF9">
                                    <w:rPr>
                                      <w:sz w:val="18"/>
                                      <w:szCs w:val="18"/>
                                    </w:rPr>
                                    <w:t xml:space="preserve">n= </w:t>
                                  </w:r>
                                  <w:r>
                                    <w:rPr>
                                      <w:sz w:val="18"/>
                                      <w:szCs w:val="18"/>
                                    </w:rPr>
                                    <w:t>70</w:t>
                                  </w:r>
                                </w:p>
                                <w:p w:rsidR="00DB0295" w:rsidRPr="00CA261D" w:rsidRDefault="00DB0295" w:rsidP="00E201E5">
                                  <w:pPr>
                                    <w:rPr>
                                      <w:szCs w:val="18"/>
                                    </w:rPr>
                                  </w:pPr>
                                </w:p>
                              </w:txbxContent>
                            </wps:txbx>
                            <wps:bodyPr rot="0" vert="horz" wrap="square" lIns="36000" tIns="36000" rIns="36000" bIns="36000" anchor="ctr" anchorCtr="0" upright="1">
                              <a:noAutofit/>
                            </wps:bodyPr>
                          </wps:wsp>
                          <wps:wsp>
                            <wps:cNvPr id="38" name="Line 57" descr="line running from point to point" title="line"/>
                            <wps:cNvCnPr/>
                            <wps:spPr bwMode="auto">
                              <a:xfrm flipH="1">
                                <a:off x="6429" y="7270"/>
                                <a:ext cx="1"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58" descr="line running from point to point" title="line"/>
                            <wps:cNvCnPr/>
                            <wps:spPr bwMode="auto">
                              <a:xfrm flipH="1">
                                <a:off x="6428" y="8618"/>
                                <a:ext cx="3" cy="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0" name="Group 59"/>
                          <wpg:cNvGrpSpPr>
                            <a:grpSpLocks/>
                          </wpg:cNvGrpSpPr>
                          <wpg:grpSpPr bwMode="auto">
                            <a:xfrm>
                              <a:off x="7608" y="7272"/>
                              <a:ext cx="1768" cy="1707"/>
                              <a:chOff x="7608" y="7283"/>
                              <a:chExt cx="1768" cy="1707"/>
                            </a:xfrm>
                          </wpg:grpSpPr>
                          <wps:wsp>
                            <wps:cNvPr id="41" name="Text Box 60" descr="No Betadine wash, Oral cotrimoxazole&#10;(0.5ml/kg bd) &#10;n= 70&#10;" title="information box"/>
                            <wps:cNvSpPr txBox="1">
                              <a:spLocks noChangeArrowheads="1"/>
                            </wps:cNvSpPr>
                            <wps:spPr bwMode="auto">
                              <a:xfrm>
                                <a:off x="7608" y="7630"/>
                                <a:ext cx="1768" cy="993"/>
                              </a:xfrm>
                              <a:prstGeom prst="rect">
                                <a:avLst/>
                              </a:prstGeom>
                              <a:solidFill>
                                <a:srgbClr val="FFFFFF"/>
                              </a:solidFill>
                              <a:ln w="9525">
                                <a:solidFill>
                                  <a:srgbClr val="000000"/>
                                </a:solidFill>
                                <a:miter lim="800000"/>
                                <a:headEnd/>
                                <a:tailEnd/>
                              </a:ln>
                            </wps:spPr>
                            <wps:txbx>
                              <w:txbxContent>
                                <w:p w:rsidR="00DB0295" w:rsidRDefault="00DB0295" w:rsidP="00E201E5">
                                  <w:pPr>
                                    <w:jc w:val="center"/>
                                    <w:rPr>
                                      <w:sz w:val="18"/>
                                      <w:szCs w:val="18"/>
                                    </w:rPr>
                                  </w:pPr>
                                  <w:r>
                                    <w:rPr>
                                      <w:sz w:val="18"/>
                                      <w:szCs w:val="18"/>
                                    </w:rPr>
                                    <w:t xml:space="preserve">No </w:t>
                                  </w:r>
                                  <w:proofErr w:type="spellStart"/>
                                  <w:r w:rsidRPr="00634BF9">
                                    <w:rPr>
                                      <w:sz w:val="18"/>
                                      <w:szCs w:val="18"/>
                                    </w:rPr>
                                    <w:t>Betadine</w:t>
                                  </w:r>
                                  <w:proofErr w:type="spellEnd"/>
                                  <w:r w:rsidRPr="00634BF9">
                                    <w:rPr>
                                      <w:sz w:val="18"/>
                                      <w:szCs w:val="18"/>
                                    </w:rPr>
                                    <w:t xml:space="preserve"> wash, </w:t>
                                  </w:r>
                                  <w:r>
                                    <w:rPr>
                                      <w:sz w:val="18"/>
                                      <w:szCs w:val="18"/>
                                    </w:rPr>
                                    <w:t xml:space="preserve">Oral </w:t>
                                  </w:r>
                                  <w:proofErr w:type="spellStart"/>
                                  <w:r>
                                    <w:rPr>
                                      <w:sz w:val="18"/>
                                      <w:szCs w:val="18"/>
                                    </w:rPr>
                                    <w:t>cotrimoxazole</w:t>
                                  </w:r>
                                  <w:proofErr w:type="spellEnd"/>
                                </w:p>
                                <w:p w:rsidR="00DB0295" w:rsidRPr="00634BF9" w:rsidRDefault="00DB0295" w:rsidP="00E201E5">
                                  <w:pPr>
                                    <w:jc w:val="center"/>
                                    <w:rPr>
                                      <w:sz w:val="18"/>
                                      <w:szCs w:val="18"/>
                                    </w:rPr>
                                  </w:pPr>
                                  <w:r>
                                    <w:rPr>
                                      <w:sz w:val="18"/>
                                      <w:szCs w:val="18"/>
                                    </w:rPr>
                                    <w:t xml:space="preserve">(0.5ml/kg </w:t>
                                  </w:r>
                                  <w:proofErr w:type="spellStart"/>
                                  <w:r>
                                    <w:rPr>
                                      <w:sz w:val="18"/>
                                      <w:szCs w:val="18"/>
                                    </w:rPr>
                                    <w:t>bd</w:t>
                                  </w:r>
                                  <w:proofErr w:type="spellEnd"/>
                                  <w:r>
                                    <w:rPr>
                                      <w:sz w:val="18"/>
                                      <w:szCs w:val="18"/>
                                    </w:rPr>
                                    <w:t>)</w:t>
                                  </w:r>
                                  <w:r w:rsidRPr="00634BF9">
                                    <w:rPr>
                                      <w:sz w:val="18"/>
                                      <w:szCs w:val="18"/>
                                    </w:rPr>
                                    <w:t xml:space="preserve"> </w:t>
                                  </w:r>
                                </w:p>
                                <w:p w:rsidR="00DB0295" w:rsidRPr="00634BF9" w:rsidRDefault="00DB0295" w:rsidP="00E201E5">
                                  <w:pPr>
                                    <w:jc w:val="center"/>
                                    <w:rPr>
                                      <w:sz w:val="18"/>
                                      <w:szCs w:val="18"/>
                                    </w:rPr>
                                  </w:pPr>
                                  <w:r w:rsidRPr="00634BF9">
                                    <w:rPr>
                                      <w:sz w:val="18"/>
                                      <w:szCs w:val="18"/>
                                    </w:rPr>
                                    <w:t xml:space="preserve">n= </w:t>
                                  </w:r>
                                  <w:r>
                                    <w:rPr>
                                      <w:sz w:val="18"/>
                                      <w:szCs w:val="18"/>
                                    </w:rPr>
                                    <w:t>70</w:t>
                                  </w:r>
                                </w:p>
                                <w:p w:rsidR="00DB0295" w:rsidRPr="00CA261D" w:rsidRDefault="00DB0295" w:rsidP="00E201E5">
                                  <w:pPr>
                                    <w:rPr>
                                      <w:szCs w:val="18"/>
                                    </w:rPr>
                                  </w:pPr>
                                </w:p>
                              </w:txbxContent>
                            </wps:txbx>
                            <wps:bodyPr rot="0" vert="horz" wrap="square" lIns="36000" tIns="36000" rIns="36000" bIns="36000" anchor="ctr" anchorCtr="0" upright="1">
                              <a:noAutofit/>
                            </wps:bodyPr>
                          </wps:wsp>
                          <wps:wsp>
                            <wps:cNvPr id="42" name="Line 61" descr="line running from point to point" title="line"/>
                            <wps:cNvCnPr/>
                            <wps:spPr bwMode="auto">
                              <a:xfrm flipH="1">
                                <a:off x="8490" y="7283"/>
                                <a:ext cx="3" cy="3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62" descr="line running from point to point" title="line"/>
                            <wps:cNvCnPr/>
                            <wps:spPr bwMode="auto">
                              <a:xfrm flipH="1">
                                <a:off x="8490" y="8620"/>
                                <a:ext cx="3" cy="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4" name="Group 63"/>
                          <wpg:cNvGrpSpPr>
                            <a:grpSpLocks/>
                          </wpg:cNvGrpSpPr>
                          <wpg:grpSpPr bwMode="auto">
                            <a:xfrm>
                              <a:off x="9713" y="7264"/>
                              <a:ext cx="1767" cy="1724"/>
                              <a:chOff x="9713" y="7264"/>
                              <a:chExt cx="1767" cy="1724"/>
                            </a:xfrm>
                          </wpg:grpSpPr>
                          <wps:wsp>
                            <wps:cNvPr id="45" name="Text Box 64" descr="No Betadine wash, Oral placebo&#10;(0.5ml/kg bd) &#10;n= 70&#10;" title="information box"/>
                            <wps:cNvSpPr txBox="1">
                              <a:spLocks noChangeArrowheads="1"/>
                            </wps:cNvSpPr>
                            <wps:spPr bwMode="auto">
                              <a:xfrm>
                                <a:off x="9713" y="7637"/>
                                <a:ext cx="1767" cy="980"/>
                              </a:xfrm>
                              <a:prstGeom prst="rect">
                                <a:avLst/>
                              </a:prstGeom>
                              <a:solidFill>
                                <a:srgbClr val="FFFFFF"/>
                              </a:solidFill>
                              <a:ln w="9525">
                                <a:solidFill>
                                  <a:srgbClr val="000000"/>
                                </a:solidFill>
                                <a:miter lim="800000"/>
                                <a:headEnd/>
                                <a:tailEnd/>
                              </a:ln>
                            </wps:spPr>
                            <wps:txbx>
                              <w:txbxContent>
                                <w:p w:rsidR="00DB0295" w:rsidRDefault="00DB0295" w:rsidP="00E201E5">
                                  <w:pPr>
                                    <w:jc w:val="center"/>
                                    <w:rPr>
                                      <w:sz w:val="18"/>
                                      <w:szCs w:val="18"/>
                                    </w:rPr>
                                  </w:pPr>
                                  <w:r>
                                    <w:rPr>
                                      <w:sz w:val="18"/>
                                      <w:szCs w:val="18"/>
                                    </w:rPr>
                                    <w:t xml:space="preserve">No </w:t>
                                  </w:r>
                                  <w:proofErr w:type="spellStart"/>
                                  <w:r w:rsidRPr="00634BF9">
                                    <w:rPr>
                                      <w:sz w:val="18"/>
                                      <w:szCs w:val="18"/>
                                    </w:rPr>
                                    <w:t>Betadine</w:t>
                                  </w:r>
                                  <w:proofErr w:type="spellEnd"/>
                                  <w:r w:rsidRPr="00634BF9">
                                    <w:rPr>
                                      <w:sz w:val="18"/>
                                      <w:szCs w:val="18"/>
                                    </w:rPr>
                                    <w:t xml:space="preserve"> wash, </w:t>
                                  </w:r>
                                  <w:r>
                                    <w:rPr>
                                      <w:sz w:val="18"/>
                                      <w:szCs w:val="18"/>
                                    </w:rPr>
                                    <w:t>Oral placebo</w:t>
                                  </w:r>
                                </w:p>
                                <w:p w:rsidR="00DB0295" w:rsidRPr="00634BF9" w:rsidRDefault="00DB0295" w:rsidP="00E201E5">
                                  <w:pPr>
                                    <w:jc w:val="center"/>
                                    <w:rPr>
                                      <w:sz w:val="18"/>
                                      <w:szCs w:val="18"/>
                                    </w:rPr>
                                  </w:pPr>
                                  <w:r>
                                    <w:rPr>
                                      <w:sz w:val="18"/>
                                      <w:szCs w:val="18"/>
                                    </w:rPr>
                                    <w:t xml:space="preserve">(0.5ml/kg </w:t>
                                  </w:r>
                                  <w:proofErr w:type="spellStart"/>
                                  <w:r>
                                    <w:rPr>
                                      <w:sz w:val="18"/>
                                      <w:szCs w:val="18"/>
                                    </w:rPr>
                                    <w:t>bd</w:t>
                                  </w:r>
                                  <w:proofErr w:type="spellEnd"/>
                                  <w:r>
                                    <w:rPr>
                                      <w:sz w:val="18"/>
                                      <w:szCs w:val="18"/>
                                    </w:rPr>
                                    <w:t>)</w:t>
                                  </w:r>
                                  <w:r w:rsidRPr="00634BF9">
                                    <w:rPr>
                                      <w:sz w:val="18"/>
                                      <w:szCs w:val="18"/>
                                    </w:rPr>
                                    <w:t xml:space="preserve"> </w:t>
                                  </w:r>
                                </w:p>
                                <w:p w:rsidR="00DB0295" w:rsidRPr="00634BF9" w:rsidRDefault="00DB0295" w:rsidP="00E201E5">
                                  <w:pPr>
                                    <w:jc w:val="center"/>
                                    <w:rPr>
                                      <w:sz w:val="18"/>
                                      <w:szCs w:val="18"/>
                                    </w:rPr>
                                  </w:pPr>
                                  <w:r w:rsidRPr="00634BF9">
                                    <w:rPr>
                                      <w:sz w:val="18"/>
                                      <w:szCs w:val="18"/>
                                    </w:rPr>
                                    <w:t xml:space="preserve">n= </w:t>
                                  </w:r>
                                  <w:r>
                                    <w:rPr>
                                      <w:sz w:val="18"/>
                                      <w:szCs w:val="18"/>
                                    </w:rPr>
                                    <w:t>70</w:t>
                                  </w:r>
                                </w:p>
                                <w:p w:rsidR="00DB0295" w:rsidRPr="00634BF9" w:rsidRDefault="00DB0295" w:rsidP="00E201E5">
                                  <w:pPr>
                                    <w:jc w:val="center"/>
                                    <w:rPr>
                                      <w:sz w:val="18"/>
                                      <w:szCs w:val="18"/>
                                    </w:rPr>
                                  </w:pPr>
                                </w:p>
                              </w:txbxContent>
                            </wps:txbx>
                            <wps:bodyPr rot="0" vert="horz" wrap="square" lIns="36000" tIns="36000" rIns="36000" bIns="36000" anchor="ctr" anchorCtr="0" upright="1">
                              <a:noAutofit/>
                            </wps:bodyPr>
                          </wps:wsp>
                          <wps:wsp>
                            <wps:cNvPr id="46" name="Line 65" descr="line running from point to point" title="line"/>
                            <wps:cNvCnPr/>
                            <wps:spPr bwMode="auto">
                              <a:xfrm flipH="1">
                                <a:off x="10596" y="7264"/>
                                <a:ext cx="1"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66" descr="line running from point to point" title="line"/>
                            <wps:cNvCnPr/>
                            <wps:spPr bwMode="auto">
                              <a:xfrm flipH="1">
                                <a:off x="10595" y="8618"/>
                                <a:ext cx="3" cy="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48" name="Text Box 67" descr="16 week follow up" title="information box"/>
                        <wps:cNvSpPr txBox="1">
                          <a:spLocks noChangeArrowheads="1"/>
                        </wps:cNvSpPr>
                        <wps:spPr bwMode="auto">
                          <a:xfrm>
                            <a:off x="3503" y="8973"/>
                            <a:ext cx="7939" cy="426"/>
                          </a:xfrm>
                          <a:prstGeom prst="rect">
                            <a:avLst/>
                          </a:prstGeom>
                          <a:solidFill>
                            <a:srgbClr val="FFFFFF"/>
                          </a:solidFill>
                          <a:ln w="9525">
                            <a:solidFill>
                              <a:srgbClr val="000000"/>
                            </a:solidFill>
                            <a:miter lim="800000"/>
                            <a:headEnd/>
                            <a:tailEnd/>
                          </a:ln>
                        </wps:spPr>
                        <wps:txbx>
                          <w:txbxContent>
                            <w:p w:rsidR="00DB0295" w:rsidRPr="00B423A8" w:rsidRDefault="00DB0295" w:rsidP="00E201E5">
                              <w:pPr>
                                <w:jc w:val="center"/>
                                <w:rPr>
                                  <w:szCs w:val="18"/>
                                </w:rPr>
                              </w:pPr>
                              <w:r w:rsidRPr="00B423A8">
                                <w:rPr>
                                  <w:szCs w:val="18"/>
                                </w:rPr>
                                <w:t xml:space="preserve"> </w:t>
                              </w:r>
                              <w:r>
                                <w:rPr>
                                  <w:sz w:val="18"/>
                                  <w:szCs w:val="18"/>
                                </w:rPr>
                                <w:t>16</w:t>
                              </w:r>
                              <w:r w:rsidRPr="00B423A8">
                                <w:rPr>
                                  <w:sz w:val="18"/>
                                  <w:szCs w:val="18"/>
                                </w:rPr>
                                <w:t xml:space="preserve"> week follow</w:t>
                              </w:r>
                              <w:r>
                                <w:rPr>
                                  <w:sz w:val="18"/>
                                  <w:szCs w:val="18"/>
                                </w:rPr>
                                <w:t xml:space="preserve"> </w:t>
                              </w:r>
                              <w:r w:rsidRPr="00B423A8">
                                <w:rPr>
                                  <w:sz w:val="18"/>
                                  <w:szCs w:val="18"/>
                                </w:rPr>
                                <w:t>up</w:t>
                              </w:r>
                            </w:p>
                          </w:txbxContent>
                        </wps:txbx>
                        <wps:bodyPr rot="0" vert="horz" wrap="square" lIns="36000" tIns="36000" rIns="36000" bIns="36000" anchor="ctr" anchorCtr="0" upright="1">
                          <a:noAutofit/>
                        </wps:bodyPr>
                      </wps:wsp>
                      <wps:wsp>
                        <wps:cNvPr id="49" name="Text Box 68" descr="12 Month follow up" title="information box"/>
                        <wps:cNvSpPr txBox="1">
                          <a:spLocks noChangeArrowheads="1"/>
                        </wps:cNvSpPr>
                        <wps:spPr bwMode="auto">
                          <a:xfrm>
                            <a:off x="3503" y="9678"/>
                            <a:ext cx="7939" cy="426"/>
                          </a:xfrm>
                          <a:prstGeom prst="rect">
                            <a:avLst/>
                          </a:prstGeom>
                          <a:solidFill>
                            <a:srgbClr val="FFFFFF"/>
                          </a:solidFill>
                          <a:ln w="9525">
                            <a:solidFill>
                              <a:srgbClr val="000000"/>
                            </a:solidFill>
                            <a:miter lim="800000"/>
                            <a:headEnd/>
                            <a:tailEnd/>
                          </a:ln>
                        </wps:spPr>
                        <wps:txbx>
                          <w:txbxContent>
                            <w:p w:rsidR="00DB0295" w:rsidRPr="00B423A8" w:rsidRDefault="00DB0295" w:rsidP="00E201E5">
                              <w:pPr>
                                <w:jc w:val="center"/>
                                <w:rPr>
                                  <w:szCs w:val="18"/>
                                </w:rPr>
                              </w:pPr>
                              <w:r w:rsidRPr="00B423A8">
                                <w:rPr>
                                  <w:szCs w:val="18"/>
                                </w:rPr>
                                <w:t xml:space="preserve"> </w:t>
                              </w:r>
                              <w:r>
                                <w:rPr>
                                  <w:sz w:val="18"/>
                                  <w:szCs w:val="18"/>
                                </w:rPr>
                                <w:t>12 month</w:t>
                              </w:r>
                              <w:r w:rsidRPr="00B423A8">
                                <w:rPr>
                                  <w:sz w:val="18"/>
                                  <w:szCs w:val="18"/>
                                </w:rPr>
                                <w:t xml:space="preserve"> follow</w:t>
                              </w:r>
                              <w:r>
                                <w:rPr>
                                  <w:sz w:val="18"/>
                                  <w:szCs w:val="18"/>
                                </w:rPr>
                                <w:t xml:space="preserve"> </w:t>
                              </w:r>
                              <w:r w:rsidRPr="00B423A8">
                                <w:rPr>
                                  <w:sz w:val="18"/>
                                  <w:szCs w:val="18"/>
                                </w:rPr>
                                <w:t>up</w:t>
                              </w:r>
                            </w:p>
                          </w:txbxContent>
                        </wps:txbx>
                        <wps:bodyPr rot="0" vert="horz" wrap="square" lIns="36000" tIns="36000" rIns="36000" bIns="36000" anchor="ctr" anchorCtr="0" upright="1">
                          <a:noAutofit/>
                        </wps:bodyPr>
                      </wps:wsp>
                      <wps:wsp>
                        <wps:cNvPr id="50" name="Line 69" descr="line running from point to point" title="line"/>
                        <wps:cNvCnPr/>
                        <wps:spPr bwMode="auto">
                          <a:xfrm>
                            <a:off x="7472" y="9399"/>
                            <a:ext cx="1" cy="2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70" descr="Usual treatment (ciprofloxacin drops, tissue spears) plus:" title="information box"/>
                        <wps:cNvSpPr txBox="1">
                          <a:spLocks noChangeArrowheads="1"/>
                        </wps:cNvSpPr>
                        <wps:spPr bwMode="auto">
                          <a:xfrm>
                            <a:off x="1680" y="7683"/>
                            <a:ext cx="1425" cy="9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295" w:rsidRDefault="00DB0295" w:rsidP="00E201E5">
                              <w:r w:rsidRPr="00FD4EF8">
                                <w:rPr>
                                  <w:sz w:val="18"/>
                                  <w:szCs w:val="18"/>
                                </w:rPr>
                                <w:t>Usual treatment</w:t>
                              </w:r>
                              <w:r>
                                <w:t xml:space="preserve"> </w:t>
                              </w:r>
                              <w:r w:rsidRPr="00FD4EF8">
                                <w:rPr>
                                  <w:sz w:val="18"/>
                                  <w:szCs w:val="18"/>
                                </w:rPr>
                                <w:t>(ciprofloxacin</w:t>
                              </w:r>
                              <w:r>
                                <w:rPr>
                                  <w:sz w:val="18"/>
                                  <w:szCs w:val="18"/>
                                </w:rPr>
                                <w:t xml:space="preserve"> drops,</w:t>
                              </w:r>
                              <w:r w:rsidR="00C50EC1">
                                <w:rPr>
                                  <w:sz w:val="18"/>
                                  <w:szCs w:val="18"/>
                                </w:rPr>
                                <w:t xml:space="preserve"> </w:t>
                              </w:r>
                              <w:bookmarkStart w:id="0" w:name="_GoBack"/>
                              <w:bookmarkEnd w:id="0"/>
                              <w:r>
                                <w:rPr>
                                  <w:sz w:val="18"/>
                                  <w:szCs w:val="18"/>
                                </w:rPr>
                                <w:t>tissue spears)</w:t>
                              </w:r>
                              <w:r w:rsidRPr="00FD4EF8">
                                <w:rPr>
                                  <w:sz w:val="18"/>
                                  <w:szCs w:val="18"/>
                                </w:rPr>
                                <w:t xml:space="preserve"> plus:</w:t>
                              </w:r>
                            </w:p>
                          </w:txbxContent>
                        </wps:txbx>
                        <wps:bodyPr rot="0" vert="horz" wrap="square" lIns="36000" tIns="36000" rIns="36000" bIns="36000" anchor="ctr" anchorCtr="0" upright="1">
                          <a:spAutoFit/>
                        </wps:bodyPr>
                      </wps:wsp>
                      <wps:wsp>
                        <wps:cNvPr id="52" name="Text Box 71" descr="Bracket stating all information is related to each other" title="bracket"/>
                        <wps:cNvSpPr txBox="1">
                          <a:spLocks noChangeArrowheads="1"/>
                        </wps:cNvSpPr>
                        <wps:spPr bwMode="auto">
                          <a:xfrm>
                            <a:off x="2867" y="7442"/>
                            <a:ext cx="636" cy="1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295" w:rsidRPr="00FD4EF8" w:rsidRDefault="00DB0295" w:rsidP="00E201E5">
                              <w:pPr>
                                <w:jc w:val="center"/>
                                <w:rPr>
                                  <w:sz w:val="96"/>
                                  <w:szCs w:val="96"/>
                                </w:rPr>
                              </w:pPr>
                              <w:r w:rsidRPr="00FD4EF8">
                                <w:rPr>
                                  <w:sz w:val="96"/>
                                  <w:szCs w:val="96"/>
                                </w:rPr>
                                <w:t>{</w:t>
                              </w:r>
                            </w:p>
                          </w:txbxContent>
                        </wps:txbx>
                        <wps:bodyPr rot="0" vert="horz" wrap="square" lIns="36000" tIns="36000" rIns="36000" bIns="36000" anchor="ctr" anchorCtr="0" upright="1">
                          <a:spAutoFit/>
                        </wps:bodyPr>
                      </wps:wsp>
                      <wps:wsp>
                        <wps:cNvPr id="53" name="AutoShape 72" descr="line moving from point to point" title="line"/>
                        <wps:cNvCnPr>
                          <a:cxnSpLocks noChangeShapeType="1"/>
                        </wps:cNvCnPr>
                        <wps:spPr bwMode="auto">
                          <a:xfrm>
                            <a:off x="7472" y="2193"/>
                            <a:ext cx="1" cy="3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73" descr="line running from point to point" title="line "/>
                        <wps:cNvCnPr>
                          <a:cxnSpLocks noChangeShapeType="1"/>
                        </wps:cNvCnPr>
                        <wps:spPr bwMode="auto">
                          <a:xfrm flipH="1">
                            <a:off x="7472" y="4099"/>
                            <a:ext cx="2" cy="6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74" descr="line running from point to point" title="line"/>
                        <wps:cNvCnPr>
                          <a:cxnSpLocks noChangeShapeType="1"/>
                        </wps:cNvCnPr>
                        <wps:spPr bwMode="auto">
                          <a:xfrm>
                            <a:off x="7472" y="5541"/>
                            <a:ext cx="1" cy="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75" descr="line running from point to point" title="line"/>
                        <wps:cNvCnPr>
                          <a:cxnSpLocks noChangeShapeType="1"/>
                        </wps:cNvCnPr>
                        <wps:spPr bwMode="auto">
                          <a:xfrm>
                            <a:off x="7472" y="6916"/>
                            <a:ext cx="1" cy="3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76" descr="line running from point to point" title="line"/>
                        <wps:cNvCnPr>
                          <a:cxnSpLocks noChangeShapeType="1"/>
                        </wps:cNvCnPr>
                        <wps:spPr bwMode="auto">
                          <a:xfrm>
                            <a:off x="4359" y="7263"/>
                            <a:ext cx="623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8" o:spid="_x0000_s1026" alt="Title: Figure 1: Flow diagram of study design fro IHEAR BETA - Description: Flow chart that identifies children at high risk for perforation." style="width:492pt;height:441.15pt;mso-position-horizontal-relative:char;mso-position-vertical-relative:line" coordorigin="1680,1452" coordsize="9840,8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94jJwwAAOVtAAAOAAAAZHJzL2Uyb0RvYy54bWzsXelu20gS/r/AvkNDi10kwDgmKZ7aUQY+&#10;MwZyYZJ5AIqiJCIUyW1SljyLfff9qrt5iLRjJ7YVOWZ+OJLIJptdVV+dXfz1t80yZpchz6M0GQ/0&#10;V9qAhUmQTqNkPh78+fn8wB2wvPCTqR+nSTgeXIX54LfXf//br+tsFBrpIo2nIWe4SJKP1tl4sCiK&#10;bHR4mAeLcOnnr9IsTHBwlvKlX+Arnx9Oub/G1ZfxoaFp9uE65dOMp0GY5/j1VB4cvBbXn83CoPgw&#10;m+VhweLxAHMrxF8u/k7o7+HrX/3RnPvZIgrUNPzvmMXSjxLctLrUqV/4bMWjzqWWUcDTPJ0Vr4J0&#10;eZjOZlEQimfA0+ha62ne8HSViWeZj9bzrFomLG1rnb77ssH7y4+cRVPQzhuwxF+CRuK2bAjKTcM8&#10;wGKdx+maBQufF6xY+AVOD5MimkVhjl+jeMrDhOHnRTRfMB7lXxjoxbKQ4z+/AGO8wsJHRYxLn0fz&#10;FQ+ZPmLimtPIx9ovWToDk6ymV3TDaJ6wGU/Zxe9nR3+w47PPR0SkdTYfYa5vePYp+8jlSuPj2zT4&#10;krMkPVn4yTw8yjMQHI9CIw7bQ+j7XI5nk/W7dIr5+KsiFXTbzPiSrgqKsI1gj6uKPcJNwQL8aBum&#10;a2rgogDHLFszbM2SDBQswGU0TrddHMdh3bSM8tiZGu9htBzsusZQzNEfyRuLyarJ0cNCGPKa3vn9&#10;6P1p4WehYKOc1lDR28BcJL2PsAjiHDb0aFZ0e5xXLnR+4yrXC895ul6E/hQz1XHZ9DPW7GwaNWjR&#10;uCRdPwcVb6WC7tJqb61mSQvPofkTITpr6Y8ynhdvwnTJ6MN4wMEUgsj+5du8INaoTyGaJ+l5FMf4&#10;3R/FydYPOFH+gttiKB2jCQjB/q+neWfumWsemIZ9dmBqp6cHR+cn5oF9rjvW6fD05ORU/x/dVzdH&#10;i2gKmaHblCCjm3cjqoI7CQ8VzORpHE3pcjSlnM8nJzFnlz5A7lz8U8zVOO1wexpiEfAsrUfSDVM7&#10;NryDc9t1Dsxz0zrwHM090HTv2LM10zNPz7cf6W2UhPd/JLYeDzzLsASVGpNuPZsm/nWfzR8towJq&#10;JI6W4IfqJH9ELHmWTAVpCz+K5efGUtD066UAuUtCQyAlk0pxmKTTKzAsT8FO4DsoPHxYpPyvAVtD&#10;eYwH+X9WPg8HLL5IIAOebpKoF+KLaQle5c0jk+YRPwlwqfGgGDD58aSQGmqVcUAq7qSLhUlSktRZ&#10;JFiY5idnJaBOAMaukINEXGiKGjnocZW2iIkl+CpJoI8JySGGaZRAdaTyQ6UM6MQG3pwkEtiDTdIG&#10;doFOn68yIHaJ7QJP5JCSVLfiiWM6hsCTIeCZ7izFmbAdj0RgMjRdxV6lQmhhSV5wn2hykiYJYCXl&#10;kjR3QZZ7MzmsAcXLN/H1nqJVBbANyZPgJSWulEABsddKHoE2kRlacVdMDk6RTE66jB2nG2aCSRSP&#10;f1TGTThln9/96x+bo38nY1vTxKeKv6NE2q2wgNgk3TRYnVQrKza4aCnbHSW7pVHLx6+08p1Z3raG&#10;jmR50xMmR4PlXUepUFuzv871t2nQmyH7JnVEivXeAvGNqC+ko8VexWaywerWaHpnjB+C3hXGqy8S&#10;49UXifHqS4nxQcGfCsoPuwIAmVACwC6SqIj8mAVx6Eukh81P9nyS5lG+XzJgGxL2DQsivA37jqaQ&#10;H9bNc5YB6QKWEPWN5s5PLwpmKQoNgwfi8XQMHhMkanG+Z8DhJ5tHWlSlJ1q7Rsp76i2eMhh1bZDl&#10;ev/sSVo8VsnltcUDxi8B/5RfNWM6LBkj/rZXOO8NXcwXHG1qttPidtvD04m4jfusbR2B8yIy1Zs8&#10;cKppERohMbsrAWAbJQGnEYDA53NyaxvBTfbi5NOHdy+VE4D4oPh0lOerZcgc7Z8sjKN5NInD/XMO&#10;LNvF45HAOIaQito5GFoOZEnE13ThKsNTu8El/rmdAyEwwnPqBaYrMPAt204yZEgJzIVME1zdLUnA&#10;4CV/PLn4xCYYsOLIKRSM0gg8vIzSVb4lclLY2JhBBWlsjwWrTgNQEIECTbVgOdIZedaCJXyuXrC6&#10;goXkW1uwIGtKsP44en/64d3FpzMYYcygjJNKr+1DxMlylVKxLfjWW972EIkRqVRMTRhoz5r3hVrt&#10;eb/L+1UiuuFt18noJ5BesJFG2+Z83UNqtfe2QevtNOT9U4eUxHmK3vYQqN1GeLCIQvizTRCvpsgu&#10;vEjGOowc6V4cBJzynJEvLJ6DaRiQMMgvabEI+f5ZQt7QlrFX1Eu0I1BOWQ6ha7el3Z6BjyEcsKem&#10;DlRFDTnSoj5H1ZYMqwyxrCWyBOnbBTlULVXW8MgM13aNz7cU7AxNW7qy8GRb2Otq8GAl9jolLlcF&#10;O9eMCxZnylbvjqwMFqSRqmoi+fTiWToLAeaXUq4WQlhEu1qIlk+vO4h9qYVAtZcwza5diOpYuRDd&#10;kTcuxA4ql4bdzBSKrUroPA4LH+WHIVv7+eIX6Rx+4JSpSgseLdON/1eqgjEvtFcW6gi/zNlk+lKe&#10;CYPakRGcvTKqaza1kc/dMqpr2njwBEiOnnOkRizOU0PRXchMlcJ6S7JhPUz2CtxGa31zMR+bxVH2&#10;e1nkoIorTcRARNgRWK2gpoyOlGU4Mlt1MyeL0iEy/frCG1lC/POkoYZQ1lJlSk6tU1BE9O8tLPtu&#10;ToXGRIDctXVRGNYIkEtNOkQNzVcxt+fUVrH7Tji1Ns++ZpxV6R5lnKmIzLYV+pBWqmW5FfK11bhN&#10;yUuRj3dKXquMs8Y4yW/+qLZSUXPeGlnhZr0MVFpJUP3oZeVUbtbya606JXCjcZbFfhBOUuHAPh2z&#10;rKZL1yyrqNKbZcBPAsneLOvEOmmTTVPZ1TH+3Ss726SKICg7xyhBpjfL+nhlGdKpovLSLHuYgPz3&#10;mWXgVNy+N8sef5/RA0fWa3vkK2YZRYW3YmZqU9rjmWWOrUl+AvKpXXsV8jk2DkmzTOYsyfRSu/0a&#10;41xVXN8wyzojf6RZRnsXWmYZfOwyZvY+ZS3L7MlHzGra2Ei1AGdq102vKOPJPREVYTrFr88g76Ck&#10;q9xN1u9/UArPrEL3QuHZECCVnNu9aeaaHoRVmGYl0JQAhUAeodPwtmIimjSlX/uIGaKQtOl+J3GI&#10;nbjcZpUPkZxa50J+IKe6NjZob8Fuyal9xEy2u0AlxH22gP8Q06zKIsiIma0KYx/PNPMcHXwjkK+d&#10;14Uah7ssTbNOXveacVumWWtkZQHUFurOImbYitwxzeqg9w2m2dOMl9VU6cbLKmr28TLkywR29gGz&#10;TsDMrGL2UtdBdn6YVaZrlifTQ92ikz6R+aD9Th5Y2e3GLKsyIZJV6yzI7s0yYlWISh8ye9Ihs9o4&#10;2VEyD2WZHdOkTlHoNluHIXX7iqlB2Crbr5IpS5OWo+s5rc4XTlWNjdZNX0/fP4MAkK5qEvsIkMhQ&#10;1ttBzSrlUW2IpmCwsjd0g71Lk2Kx7+zv2U6rdKVnfxRCUOMX2fSi3w19fYNAFG0r8Jf2S7074VHt&#10;F4pRqkLBql8X8Pr6QkHDEb9X7nsngE9T7cOejV6jP0/Y0+qmtBBaLOH5z3yFmu+Ch36xpK3EL4II&#10;bWJnMeq/gyhhU55m+S/YN4l9+iFD31Cf5y9ZFq/y0V5ZMVVDUeSsWlaMbqJhooh/echVINR6sxTc&#10;ZsVU7lXZ77L6AdfsO2D2HTCb+lLFfPfGXMwz2id6/sPbYtIelFaK3amThsfcD76gDzWaYRfUQcRH&#10;K9jmdu0oZzyM/QJ7/tAoM/SDBRNb+io0msgLkKBT+EK1AtxNF0HDpVA7ReFNCTV1Mt0eIq4hgvCG&#10;LFvtUajvw/tofXhrq33fOkfsDQpVyeB69zx1vW1GyZfp5f725jWwV347cVzG0m/bJNx3qnsmneqs&#10;Kg3d4HHwfZPH79qAmjUU6iN1oL52E1zl25pa27eFtJJCtY1beqT0/P5c+L2qEGjwe10icJ9wDEVb&#10;dtBw3ep23lWu6207PXsmfy5MXmX2G0z+MOn9HTG57entjguSyfu3CvRdf+RLlmjju4wRNJj8YQoD&#10;HpfJsWe/3Bwmi/4aEQCj7231eG/6aURit94jVL4zo/z/ju/OECUEeJeYGKbee0YvK2t+x+fm29le&#10;/x8AAP//AwBQSwMEFAAGAAgAAAAhABIv8tbcAAAABQEAAA8AAABkcnMvZG93bnJldi54bWxMj0FL&#10;w0AQhe+C/2EZwZvdpFWJMZtSinoqQltBvE2TaRKanQ3ZbZL+e0cvennweMN732TLybZqoN43jg3E&#10;swgUceHKhisDH/vXuwSUD8glto7JwIU8LPPrqwzT0o28pWEXKiUl7FM0UIfQpVr7oiaLfuY6YsmO&#10;rrcYxPaVLnscpdy2eh5Fj9piw7JQY0frmorT7mwNvI04rhbxy7A5HdeXr/3D++cmJmNub6bVM6hA&#10;U/g7hh98QYdcmA7uzKVXrQF5JPyqZE/JvdiDgSSZL0Dnmf5Pn38DAAD//wMAUEsBAi0AFAAGAAgA&#10;AAAhALaDOJL+AAAA4QEAABMAAAAAAAAAAAAAAAAAAAAAAFtDb250ZW50X1R5cGVzXS54bWxQSwEC&#10;LQAUAAYACAAAACEAOP0h/9YAAACUAQAACwAAAAAAAAAAAAAAAAAvAQAAX3JlbHMvLnJlbHNQSwEC&#10;LQAUAAYACAAAACEAFr/eIycMAADlbQAADgAAAAAAAAAAAAAAAAAuAgAAZHJzL2Uyb0RvYy54bWxQ&#10;SwECLQAUAAYACAAAACEAEi/y1twAAAAFAQAADwAAAAAAAAAAAAAAAACBDgAAZHJzL2Rvd25yZXYu&#10;eG1sUEsFBgAAAAAEAAQA8wAAAIoPAAAAAA==&#10;">
                <o:lock v:ext="edit" aspectratio="t"/>
                <v:rect id="AutoShape 39" o:spid="_x0000_s1027" style="position:absolute;left:1800;top:1452;width:9720;height:8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9osAA&#10;AADbAAAADwAAAGRycy9kb3ducmV2LnhtbERPy4rCMBTdD/gP4QpuBk3HhUg1ighiEUGmPtaX5toW&#10;m5vaZNr692Yx4PJw3st1byrRUuNKywp+JhEI4szqknMFl/NuPAfhPLLGyjIpeJGD9WrwtcRY245/&#10;qU19LkIIuxgVFN7XsZQuK8igm9iaOHB32xj0ATa51A12IdxUchpFM2mw5NBQYE3bgrJH+mcUdNmp&#10;vZ2Pe3n6viWWn8lzm14PSo2G/WYBwlPvP+J/d6IVTMP6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A9osAAAADbAAAADwAAAAAAAAAAAAAAAACYAgAAZHJzL2Rvd25y&#10;ZXYueG1sUEsFBgAAAAAEAAQA9QAAAIUDAAAAAA==&#10;" filled="f" stroked="f">
                  <o:lock v:ext="edit" aspectratio="t" text="t"/>
                </v:rect>
                <v:shapetype id="_x0000_t32" coordsize="21600,21600" o:spt="32" o:oned="t" path="m,l21600,21600e" filled="f">
                  <v:path arrowok="t" fillok="f" o:connecttype="none"/>
                  <o:lock v:ext="edit" shapetype="t"/>
                </v:shapetype>
                <v:shape id="AutoShape 40" o:spid="_x0000_s1028" type="#_x0000_t32" alt="line running from point to point" style="position:absolute;left:7472;top:3145;width:1;height: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type id="_x0000_t202" coordsize="21600,21600" o:spt="202" path="m,l,21600r21600,l21600,xe">
                  <v:stroke joinstyle="miter"/>
                  <v:path gradientshapeok="t" o:connecttype="rect"/>
                </v:shapetype>
                <v:shape id="Text Box 41" o:spid="_x0000_s1029" type="#_x0000_t202" alt="Perforated TM&#10;n=600&#10;" style="position:absolute;left:6537;top:3493;width:1870;height:6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zvwcMA&#10;AADbAAAADwAAAGRycy9kb3ducmV2LnhtbESP0WrCQBRE34X+w3ILfdONQbTEbESFgJSCmPYDbrPX&#10;JG32bsiuSfz7rlDo4zAzZ5h0N5lWDNS7xrKC5SICQVxa3XCl4PMjn7+CcB5ZY2uZFNzJwS57mqWY&#10;aDvyhYbCVyJA2CWooPa+S6R0ZU0G3cJ2xMG72t6gD7KvpO5xDHDTyjiK1tJgw2Ghxo6ONZU/xc0o&#10;KDZFfv8eV+M7tV9vWtPBnNcHpV6ep/0WhKfJ/4f/2ietII7h8SX8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zvwcMAAADbAAAADwAAAAAAAAAAAAAAAACYAgAAZHJzL2Rv&#10;d25yZXYueG1sUEsFBgAAAAAEAAQA9QAAAIgDAAAAAA==&#10;">
                  <v:textbox inset="1mm,1mm,1mm,1mm">
                    <w:txbxContent>
                      <w:p w:rsidR="00DB0295" w:rsidRPr="00634BF9" w:rsidRDefault="00DB0295" w:rsidP="00E201E5">
                        <w:pPr>
                          <w:jc w:val="center"/>
                          <w:rPr>
                            <w:sz w:val="18"/>
                            <w:szCs w:val="18"/>
                          </w:rPr>
                        </w:pPr>
                        <w:r w:rsidRPr="00634BF9">
                          <w:rPr>
                            <w:sz w:val="18"/>
                            <w:szCs w:val="18"/>
                          </w:rPr>
                          <w:t>Perforated TM</w:t>
                        </w:r>
                      </w:p>
                      <w:p w:rsidR="00DB0295" w:rsidRPr="00634BF9" w:rsidRDefault="00DB0295" w:rsidP="00E201E5">
                        <w:pPr>
                          <w:jc w:val="center"/>
                          <w:rPr>
                            <w:sz w:val="18"/>
                            <w:szCs w:val="18"/>
                          </w:rPr>
                        </w:pPr>
                        <w:r w:rsidRPr="00634BF9">
                          <w:rPr>
                            <w:sz w:val="18"/>
                            <w:szCs w:val="18"/>
                          </w:rPr>
                          <w:t>n=600</w:t>
                        </w:r>
                      </w:p>
                    </w:txbxContent>
                  </v:textbox>
                </v:shape>
                <v:shape id="Text Box 42" o:spid="_x0000_s1030" type="#_x0000_t202" alt=" Initial cleaning for diagnosis" style="position:absolute;left:6622;top:2541;width:1701;height: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BKWsQA&#10;AADbAAAADwAAAGRycy9kb3ducmV2LnhtbESP3WrCQBSE7wu+w3IE7+rGH2yJrmKEgEihmPYBjtnT&#10;JDV7NmTX/Lx9t1Do5TAz3zC7w2Bq0VHrKssKFvMIBHFudcWFgs+P9PkVhPPIGmvLpGAkB4f95GmH&#10;sbY9X6nLfCEChF2MCkrvm1hKl5dk0M1tQxy8L9sa9EG2hdQt9gFuarmMoo00WHFYKLGhU0n5PXsY&#10;BdlLlo7f/bp/o/p20ZoS875JlJpNh+MWhKfB/4f/2metYLmC3y/hB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QSlrEAAAA2wAAAA8AAAAAAAAAAAAAAAAAmAIAAGRycy9k&#10;b3ducmV2LnhtbFBLBQYAAAAABAAEAPUAAACJAwAAAAA=&#10;">
                  <v:textbox inset="1mm,1mm,1mm,1mm">
                    <w:txbxContent>
                      <w:p w:rsidR="00DB0295" w:rsidRPr="00634BF9" w:rsidRDefault="00DB0295" w:rsidP="00E201E5">
                        <w:pPr>
                          <w:jc w:val="center"/>
                          <w:rPr>
                            <w:sz w:val="18"/>
                            <w:szCs w:val="18"/>
                          </w:rPr>
                        </w:pPr>
                        <w:r w:rsidRPr="00634BF9">
                          <w:rPr>
                            <w:sz w:val="18"/>
                            <w:szCs w:val="18"/>
                          </w:rPr>
                          <w:t xml:space="preserve"> Initial cleaning for diagnosis</w:t>
                        </w:r>
                      </w:p>
                      <w:p w:rsidR="00DB0295" w:rsidRDefault="00DB0295"/>
                    </w:txbxContent>
                  </v:textbox>
                </v:shape>
                <v:shape id="AutoShape 43" o:spid="_x0000_s1031" type="#_x0000_t32" alt="line running from point to point" style="position:absolute;left:7472;top:4360;width:192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Text Box 44" o:spid="_x0000_s1032" type="#_x0000_t202" alt=" Dry perforation n=200" style="position:absolute;left:9384;top:4067;width:1695;height:5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V3tcMA&#10;AADbAAAADwAAAGRycy9kb3ducmV2LnhtbESP3WrCQBSE7wu+w3IE7+pGUVuiqxghIFIopn2AY/Y0&#10;Sc2eDdk1P2/fLRR6OczMN8zuMJhadNS6yrKCxTwCQZxbXXGh4PMjfX4F4TyyxtoyKRjJwWE/edph&#10;rG3PV+oyX4gAYRejgtL7JpbS5SUZdHPbEAfvy7YGfZBtIXWLfYCbWi6jaCMNVhwWSmzoVFJ+zx5G&#10;QfaSpeN3v+rfqL5dtKbEvG8SpWbT4bgF4Wnw/+G/9lkrWK7h90v4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V3tcMAAADbAAAADwAAAAAAAAAAAAAAAACYAgAAZHJzL2Rv&#10;d25yZXYueG1sUEsFBgAAAAAEAAQA9QAAAIgDAAAAAA==&#10;">
                  <v:textbox inset="1mm,1mm,1mm,1mm">
                    <w:txbxContent>
                      <w:p w:rsidR="00DB0295" w:rsidRPr="00634BF9" w:rsidRDefault="00DB0295" w:rsidP="00E201E5">
                        <w:pPr>
                          <w:jc w:val="center"/>
                          <w:rPr>
                            <w:sz w:val="18"/>
                            <w:szCs w:val="18"/>
                          </w:rPr>
                        </w:pPr>
                        <w:r w:rsidRPr="00634BF9">
                          <w:rPr>
                            <w:sz w:val="18"/>
                            <w:szCs w:val="18"/>
                          </w:rPr>
                          <w:t xml:space="preserve"> Dry perforation</w:t>
                        </w:r>
                        <w:r>
                          <w:rPr>
                            <w:sz w:val="18"/>
                            <w:szCs w:val="18"/>
                          </w:rPr>
                          <w:t xml:space="preserve"> n=200</w:t>
                        </w:r>
                      </w:p>
                    </w:txbxContent>
                  </v:textbox>
                </v:shape>
                <v:shape id="Text Box 45" o:spid="_x0000_s1033" type="#_x0000_t202" alt="Discharging perforation (CSOM)&#10;n=400&#10;Assume 70% eligible&#10;" style="position:absolute;left:5685;top:4726;width:3574;height:8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fpwsEA&#10;AADbAAAADwAAAGRycy9kb3ducmV2LnhtbESP0YrCMBRE3xf8h3AF39ZUka5Uo6ggiAjLVj/g2lzb&#10;anNTmmjr35sFwcdhZs4w82VnKvGgxpWWFYyGEQjizOqScwWn4/Z7CsJ5ZI2VZVLwJAfLRe9rjom2&#10;Lf/RI/W5CBB2CSoovK8TKV1WkEE3tDVx8C62MeiDbHKpG2wD3FRyHEWxNFhyWCiwpk1B2S29GwXp&#10;T7p9XttJe6DqvNea1uY3Xis16HerGQhPnf+E3+2dVjCO4f9L+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n6cLBAAAA2wAAAA8AAAAAAAAAAAAAAAAAmAIAAGRycy9kb3du&#10;cmV2LnhtbFBLBQYAAAAABAAEAPUAAACGAwAAAAA=&#10;">
                  <v:textbox inset="1mm,1mm,1mm,1mm">
                    <w:txbxContent>
                      <w:p w:rsidR="00DB0295" w:rsidRPr="00634BF9" w:rsidRDefault="00DB0295" w:rsidP="00E201E5">
                        <w:pPr>
                          <w:jc w:val="center"/>
                          <w:rPr>
                            <w:sz w:val="18"/>
                            <w:szCs w:val="18"/>
                          </w:rPr>
                        </w:pPr>
                        <w:r w:rsidRPr="00634BF9">
                          <w:rPr>
                            <w:sz w:val="18"/>
                            <w:szCs w:val="18"/>
                          </w:rPr>
                          <w:t>Discharging perforation</w:t>
                        </w:r>
                        <w:r>
                          <w:rPr>
                            <w:sz w:val="18"/>
                            <w:szCs w:val="18"/>
                          </w:rPr>
                          <w:t xml:space="preserve"> (CSOM)</w:t>
                        </w:r>
                      </w:p>
                      <w:p w:rsidR="00DB0295" w:rsidRDefault="00DB0295" w:rsidP="00E201E5">
                        <w:pPr>
                          <w:jc w:val="center"/>
                          <w:rPr>
                            <w:sz w:val="18"/>
                            <w:szCs w:val="18"/>
                          </w:rPr>
                        </w:pPr>
                        <w:r w:rsidRPr="00634BF9">
                          <w:rPr>
                            <w:sz w:val="18"/>
                            <w:szCs w:val="18"/>
                          </w:rPr>
                          <w:t>n=4</w:t>
                        </w:r>
                        <w:r>
                          <w:rPr>
                            <w:sz w:val="18"/>
                            <w:szCs w:val="18"/>
                          </w:rPr>
                          <w:t>0</w:t>
                        </w:r>
                        <w:r w:rsidRPr="00634BF9">
                          <w:rPr>
                            <w:sz w:val="18"/>
                            <w:szCs w:val="18"/>
                          </w:rPr>
                          <w:t>0</w:t>
                        </w:r>
                      </w:p>
                      <w:p w:rsidR="00DB0295" w:rsidRPr="00634BF9" w:rsidRDefault="00DB0295" w:rsidP="00E201E5">
                        <w:pPr>
                          <w:jc w:val="center"/>
                          <w:rPr>
                            <w:sz w:val="18"/>
                            <w:szCs w:val="18"/>
                          </w:rPr>
                        </w:pPr>
                        <w:r>
                          <w:rPr>
                            <w:sz w:val="18"/>
                            <w:szCs w:val="18"/>
                          </w:rPr>
                          <w:t>Assume 70% eligible</w:t>
                        </w:r>
                      </w:p>
                    </w:txbxContent>
                  </v:textbox>
                </v:shape>
                <v:shape id="Text Box 46" o:spid="_x0000_s1034" type="#_x0000_t202" alt="Identify children at high risk for perforation on PCIS by current or previous perforation &#10;n = 2000 &#10;" style="position:absolute;left:5685;top:1452;width:3574;height:7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tMWcMA&#10;AADbAAAADwAAAGRycy9kb3ducmV2LnhtbESP0WrCQBRE3wX/YblC33RjKLGkrtIIghShGPsBt9lr&#10;Epu9G7KrSf6+KxR8HGbmDLPeDqYRd+pcbVnBchGBIC6srrlU8H3ez99AOI+ssbFMCkZysN1MJ2tM&#10;te35RPfclyJA2KWooPK+TaV0RUUG3cK2xMG72M6gD7Irpe6wD3DTyDiKEmmw5rBQYUu7iorf/GYU&#10;5Kt8P1771/5Izc+n1pSZryRT6mU2fLyD8DT4Z/i/fdAK4hU8vo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tMWcMAAADbAAAADwAAAAAAAAAAAAAAAACYAgAAZHJzL2Rv&#10;d25yZXYueG1sUEsFBgAAAAAEAAQA9QAAAIgDAAAAAA==&#10;">
                  <v:textbox inset="1mm,1mm,1mm,1mm">
                    <w:txbxContent>
                      <w:p w:rsidR="00DB0295" w:rsidRDefault="00DB0295" w:rsidP="00E201E5">
                        <w:pPr>
                          <w:jc w:val="center"/>
                          <w:rPr>
                            <w:sz w:val="18"/>
                            <w:szCs w:val="18"/>
                          </w:rPr>
                        </w:pPr>
                        <w:r w:rsidRPr="00634BF9">
                          <w:rPr>
                            <w:sz w:val="18"/>
                            <w:szCs w:val="18"/>
                          </w:rPr>
                          <w:t xml:space="preserve">Identify children at high risk for perforation on PCIS by current or previous perforation </w:t>
                        </w:r>
                      </w:p>
                      <w:p w:rsidR="00DB0295" w:rsidRPr="00634BF9" w:rsidRDefault="00DB0295" w:rsidP="00E201E5">
                        <w:pPr>
                          <w:jc w:val="center"/>
                          <w:rPr>
                            <w:sz w:val="18"/>
                            <w:szCs w:val="18"/>
                          </w:rPr>
                        </w:pPr>
                        <w:r w:rsidRPr="00634BF9">
                          <w:rPr>
                            <w:sz w:val="18"/>
                            <w:szCs w:val="18"/>
                          </w:rPr>
                          <w:t xml:space="preserve">n = 2000 </w:t>
                        </w:r>
                      </w:p>
                    </w:txbxContent>
                  </v:textbox>
                </v:shape>
                <v:shape id="Text Box 47" o:spid="_x0000_s1035" type="#_x0000_t202" alt="RANDOMISE n= 280" style="position:absolute;left:5885;top:6501;width:3175;height: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TYK74A&#10;AADbAAAADwAAAGRycy9kb3ducmV2LnhtbERPzYrCMBC+L/gOYQRv21QRlWoUFYRFBLH6AGMzttVm&#10;UpqsrW9vDoLHj+9/sepMJZ7UuNKygmEUgyDOrC45V3A5735nIJxH1lhZJgUvcrBa9n4WmGjb8ome&#10;qc9FCGGXoILC+zqR0mUFGXSRrYkDd7ONQR9gk0vdYBvCTSVHcTyRBksODQXWtC0oe6T/RkE6TXev&#10;eztuD1Rd91rTxhwnG6UG/W49B+Gp81/xx/2nFYzC2PAl/AC5f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D02Cu+AAAA2wAAAA8AAAAAAAAAAAAAAAAAmAIAAGRycy9kb3ducmV2&#10;LnhtbFBLBQYAAAAABAAEAPUAAACDAwAAAAA=&#10;">
                  <v:textbox inset="1mm,1mm,1mm,1mm">
                    <w:txbxContent>
                      <w:p w:rsidR="00DB0295" w:rsidRPr="00634BF9" w:rsidRDefault="00DB0295" w:rsidP="00E201E5">
                        <w:pPr>
                          <w:jc w:val="center"/>
                          <w:rPr>
                            <w:b/>
                            <w:sz w:val="20"/>
                            <w:szCs w:val="20"/>
                          </w:rPr>
                        </w:pPr>
                        <w:r w:rsidRPr="00634BF9">
                          <w:rPr>
                            <w:b/>
                            <w:sz w:val="20"/>
                            <w:szCs w:val="20"/>
                          </w:rPr>
                          <w:t>RANDOMISE</w:t>
                        </w:r>
                        <w:r>
                          <w:rPr>
                            <w:b/>
                            <w:sz w:val="20"/>
                            <w:szCs w:val="20"/>
                          </w:rPr>
                          <w:t xml:space="preserve"> n</w:t>
                        </w:r>
                        <w:r w:rsidRPr="00B1016F">
                          <w:rPr>
                            <w:b/>
                            <w:sz w:val="20"/>
                            <w:szCs w:val="20"/>
                          </w:rPr>
                          <w:t>= 280</w:t>
                        </w:r>
                      </w:p>
                    </w:txbxContent>
                  </v:textbox>
                </v:shape>
                <v:shape id="AutoShape 48" o:spid="_x0000_s1036" type="#_x0000_t32" alt="line running from point to point" style="position:absolute;left:7472;top:6124;width:193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Text Box 49" o:spid="_x0000_s1037" type="#_x0000_t202" alt="Excluded (n=1200)&#10;-criteria&#10;-decline&#10;-other&#10;" style="position:absolute;left:9362;top:5600;width:1740;height:1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tC8L4A&#10;AADbAAAADwAAAGRycy9kb3ducmV2LnhtbERPy4rCMBTdC/5DuII7TX2g0jGKCoKIIFY/4E5zp+3Y&#10;3JQm2vr3ZiG4PJz3ct2aUjypdoVlBaNhBII4tbrgTMHtuh8sQDiPrLG0TApe5GC96naWGGvb8IWe&#10;ic9ECGEXo4Lc+yqW0qU5GXRDWxEH7s/WBn2AdSZ1jU0IN6UcR9FMGiw4NORY0S6n9J48jIJknuxf&#10;/820OVH5e9SatuY82yrV77WbHxCeWv8Vf9wHrWAS1ocv4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tbQvC+AAAA2wAAAA8AAAAAAAAAAAAAAAAAmAIAAGRycy9kb3ducmV2&#10;LnhtbFBLBQYAAAAABAAEAPUAAACDAwAAAAA=&#10;">
                  <v:textbox inset="1mm,1mm,1mm,1mm">
                    <w:txbxContent>
                      <w:p w:rsidR="00DB0295" w:rsidRDefault="00DB0295" w:rsidP="00E201E5">
                        <w:pPr>
                          <w:jc w:val="center"/>
                          <w:rPr>
                            <w:sz w:val="18"/>
                            <w:szCs w:val="18"/>
                          </w:rPr>
                        </w:pPr>
                        <w:r>
                          <w:rPr>
                            <w:sz w:val="18"/>
                            <w:szCs w:val="18"/>
                          </w:rPr>
                          <w:t>Excluded (n=1200)</w:t>
                        </w:r>
                      </w:p>
                      <w:p w:rsidR="00DB0295" w:rsidRDefault="00DB0295" w:rsidP="00E201E5">
                        <w:pPr>
                          <w:jc w:val="center"/>
                          <w:rPr>
                            <w:sz w:val="18"/>
                            <w:szCs w:val="18"/>
                          </w:rPr>
                        </w:pPr>
                        <w:r>
                          <w:rPr>
                            <w:sz w:val="18"/>
                            <w:szCs w:val="18"/>
                          </w:rPr>
                          <w:t>-criteria</w:t>
                        </w:r>
                      </w:p>
                      <w:p w:rsidR="00DB0295" w:rsidRDefault="00DB0295" w:rsidP="00E201E5">
                        <w:pPr>
                          <w:jc w:val="center"/>
                          <w:rPr>
                            <w:sz w:val="18"/>
                            <w:szCs w:val="18"/>
                          </w:rPr>
                        </w:pPr>
                        <w:r>
                          <w:rPr>
                            <w:sz w:val="18"/>
                            <w:szCs w:val="18"/>
                          </w:rPr>
                          <w:t>-decline</w:t>
                        </w:r>
                      </w:p>
                      <w:p w:rsidR="00DB0295" w:rsidRPr="00634BF9" w:rsidRDefault="00DB0295" w:rsidP="00E201E5">
                        <w:pPr>
                          <w:jc w:val="center"/>
                          <w:rPr>
                            <w:sz w:val="18"/>
                            <w:szCs w:val="18"/>
                          </w:rPr>
                        </w:pPr>
                        <w:r>
                          <w:rPr>
                            <w:sz w:val="18"/>
                            <w:szCs w:val="18"/>
                          </w:rPr>
                          <w:t>-other</w:t>
                        </w:r>
                      </w:p>
                    </w:txbxContent>
                  </v:textbox>
                </v:shape>
                <v:group id="Group 50" o:spid="_x0000_s1038" style="position:absolute;left:3465;top:7264;width:8015;height:1724" coordorigin="3465,7264" coordsize="8015,1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51" o:spid="_x0000_s1039" style="position:absolute;left:3465;top:7266;width:1786;height:1719" coordorigin="3465,7269" coordsize="1786,1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Text Box 52" o:spid="_x0000_s1040" type="#_x0000_t202" alt="Betadine wash, &#10;Oral cotrimoxazole&#10;(0.5ml/kg bd) &#10;n= 70&#10;" style="position:absolute;left:3465;top:7637;width:1786;height: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nch8QA&#10;AADbAAAADwAAAGRycy9kb3ducmV2LnhtbESP0WrCQBRE3wX/YblC35qNWmyJ2QRTEEopFNN+wDV7&#10;m6Rm74bs1sS/7wqCj8PMnGHSfDKdONPgWssKllEMgriyuuVawffX/vEFhPPIGjvLpOBCDvJsPksx&#10;0XbkA51LX4sAYZeggsb7PpHSVQ0ZdJHtiYP3YweDPsihlnrAMcBNJ1dxvJEGWw4LDfb02lB1Kv+M&#10;gvK53F9+x6fxg7rju9ZUmM9NodTDYtptQXia/D18a79pBes1XL+EH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J3IfEAAAA2wAAAA8AAAAAAAAAAAAAAAAAmAIAAGRycy9k&#10;b3ducmV2LnhtbFBLBQYAAAAABAAEAPUAAACJAwAAAAA=&#10;">
                      <v:textbox inset="1mm,1mm,1mm,1mm">
                        <w:txbxContent>
                          <w:p w:rsidR="00DB0295" w:rsidRDefault="00DB0295" w:rsidP="00E201E5">
                            <w:pPr>
                              <w:jc w:val="center"/>
                              <w:rPr>
                                <w:sz w:val="18"/>
                                <w:szCs w:val="18"/>
                              </w:rPr>
                            </w:pPr>
                            <w:proofErr w:type="spellStart"/>
                            <w:r w:rsidRPr="00634BF9">
                              <w:rPr>
                                <w:sz w:val="18"/>
                                <w:szCs w:val="18"/>
                              </w:rPr>
                              <w:t>Betadine</w:t>
                            </w:r>
                            <w:proofErr w:type="spellEnd"/>
                            <w:r w:rsidRPr="00634BF9">
                              <w:rPr>
                                <w:sz w:val="18"/>
                                <w:szCs w:val="18"/>
                              </w:rPr>
                              <w:t xml:space="preserve"> wash, </w:t>
                            </w:r>
                          </w:p>
                          <w:p w:rsidR="00DB0295" w:rsidRDefault="00DB0295" w:rsidP="00E201E5">
                            <w:pPr>
                              <w:jc w:val="center"/>
                              <w:rPr>
                                <w:sz w:val="18"/>
                                <w:szCs w:val="18"/>
                              </w:rPr>
                            </w:pPr>
                            <w:r>
                              <w:rPr>
                                <w:sz w:val="18"/>
                                <w:szCs w:val="18"/>
                              </w:rPr>
                              <w:t xml:space="preserve">Oral </w:t>
                            </w:r>
                            <w:proofErr w:type="spellStart"/>
                            <w:r>
                              <w:rPr>
                                <w:sz w:val="18"/>
                                <w:szCs w:val="18"/>
                              </w:rPr>
                              <w:t>cotrimoxazole</w:t>
                            </w:r>
                            <w:proofErr w:type="spellEnd"/>
                          </w:p>
                          <w:p w:rsidR="00DB0295" w:rsidRPr="00634BF9" w:rsidRDefault="00DB0295" w:rsidP="00E201E5">
                            <w:pPr>
                              <w:jc w:val="center"/>
                              <w:rPr>
                                <w:sz w:val="18"/>
                                <w:szCs w:val="18"/>
                              </w:rPr>
                            </w:pPr>
                            <w:r>
                              <w:rPr>
                                <w:sz w:val="18"/>
                                <w:szCs w:val="18"/>
                              </w:rPr>
                              <w:t xml:space="preserve">(0.5ml/kg </w:t>
                            </w:r>
                            <w:proofErr w:type="spellStart"/>
                            <w:r>
                              <w:rPr>
                                <w:sz w:val="18"/>
                                <w:szCs w:val="18"/>
                              </w:rPr>
                              <w:t>bd</w:t>
                            </w:r>
                            <w:proofErr w:type="spellEnd"/>
                            <w:r>
                              <w:rPr>
                                <w:sz w:val="18"/>
                                <w:szCs w:val="18"/>
                              </w:rPr>
                              <w:t>)</w:t>
                            </w:r>
                            <w:r w:rsidRPr="00634BF9">
                              <w:rPr>
                                <w:sz w:val="18"/>
                                <w:szCs w:val="18"/>
                              </w:rPr>
                              <w:t xml:space="preserve"> </w:t>
                            </w:r>
                          </w:p>
                          <w:p w:rsidR="00DB0295" w:rsidRPr="00634BF9" w:rsidRDefault="00DB0295" w:rsidP="00E201E5">
                            <w:pPr>
                              <w:jc w:val="center"/>
                              <w:rPr>
                                <w:sz w:val="18"/>
                                <w:szCs w:val="18"/>
                              </w:rPr>
                            </w:pPr>
                            <w:r w:rsidRPr="00634BF9">
                              <w:rPr>
                                <w:sz w:val="18"/>
                                <w:szCs w:val="18"/>
                              </w:rPr>
                              <w:t xml:space="preserve">n= </w:t>
                            </w:r>
                            <w:r>
                              <w:rPr>
                                <w:sz w:val="18"/>
                                <w:szCs w:val="18"/>
                              </w:rPr>
                              <w:t>70</w:t>
                            </w:r>
                          </w:p>
                        </w:txbxContent>
                      </v:textbox>
                    </v:shape>
                    <v:line id="Line 53" o:spid="_x0000_s1041" alt="line running from point to point" style="position:absolute;flip:x;visibility:visible;mso-wrap-style:square" from="4357,7269" to="4358,7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line id="Line 54" o:spid="_x0000_s1042" alt="line running from point to point" style="position:absolute;flip:x;visibility:visible;mso-wrap-style:square" from="4356,8618" to="4359,8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group>
                  <v:group id="Group 55" o:spid="_x0000_s1043" style="position:absolute;left:5587;top:7267;width:1684;height:1718" coordorigin="5587,7270" coordsize="1684,1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Text Box 56" o:spid="_x0000_s1044" type="#_x0000_t202" alt="Betadine wash, &#10;Oral placebo&#10;(0.5ml/kg bd) &#10;n= 70&#10;" style="position:absolute;left:5587;top:7637;width:1684;height: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ahMQA&#10;AADbAAAADwAAAGRycy9kb3ducmV2LnhtbESP3WrCQBSE74W+w3IKvTMbbYkluooKgVKE0rQPcMye&#10;JqnZsyG75uftu0LBy2FmvmE2u9E0oqfO1ZYVLKIYBHFhdc2lgu+vbP4KwnlkjY1lUjCRg932YbbB&#10;VNuBP6nPfSkChF2KCirv21RKV1Rk0EW2JQ7ej+0M+iC7UuoOhwA3jVzGcSIN1hwWKmzpWFFxya9G&#10;Qb7Ks+l3eBlO1JzftaaD+UgOSj09jvs1CE+jv4f/229awfMKbl/CD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y2oTEAAAA2wAAAA8AAAAAAAAAAAAAAAAAmAIAAGRycy9k&#10;b3ducmV2LnhtbFBLBQYAAAAABAAEAPUAAACJAwAAAAA=&#10;">
                      <v:textbox inset="1mm,1mm,1mm,1mm">
                        <w:txbxContent>
                          <w:p w:rsidR="00DB0295" w:rsidRDefault="00DB0295" w:rsidP="00E201E5">
                            <w:pPr>
                              <w:jc w:val="center"/>
                              <w:rPr>
                                <w:sz w:val="18"/>
                                <w:szCs w:val="18"/>
                              </w:rPr>
                            </w:pPr>
                            <w:proofErr w:type="spellStart"/>
                            <w:r w:rsidRPr="00634BF9">
                              <w:rPr>
                                <w:sz w:val="18"/>
                                <w:szCs w:val="18"/>
                              </w:rPr>
                              <w:t>Betadine</w:t>
                            </w:r>
                            <w:proofErr w:type="spellEnd"/>
                            <w:r w:rsidRPr="00634BF9">
                              <w:rPr>
                                <w:sz w:val="18"/>
                                <w:szCs w:val="18"/>
                              </w:rPr>
                              <w:t xml:space="preserve"> wash, </w:t>
                            </w:r>
                          </w:p>
                          <w:p w:rsidR="00DB0295" w:rsidRDefault="00DB0295" w:rsidP="00E201E5">
                            <w:pPr>
                              <w:jc w:val="center"/>
                              <w:rPr>
                                <w:sz w:val="18"/>
                                <w:szCs w:val="18"/>
                              </w:rPr>
                            </w:pPr>
                            <w:r>
                              <w:rPr>
                                <w:sz w:val="18"/>
                                <w:szCs w:val="18"/>
                              </w:rPr>
                              <w:t>Oral placebo</w:t>
                            </w:r>
                          </w:p>
                          <w:p w:rsidR="00DB0295" w:rsidRPr="00634BF9" w:rsidRDefault="00DB0295" w:rsidP="00E201E5">
                            <w:pPr>
                              <w:jc w:val="center"/>
                              <w:rPr>
                                <w:sz w:val="18"/>
                                <w:szCs w:val="18"/>
                              </w:rPr>
                            </w:pPr>
                            <w:r>
                              <w:rPr>
                                <w:sz w:val="18"/>
                                <w:szCs w:val="18"/>
                              </w:rPr>
                              <w:t xml:space="preserve">(0.5ml/kg </w:t>
                            </w:r>
                            <w:proofErr w:type="spellStart"/>
                            <w:r>
                              <w:rPr>
                                <w:sz w:val="18"/>
                                <w:szCs w:val="18"/>
                              </w:rPr>
                              <w:t>bd</w:t>
                            </w:r>
                            <w:proofErr w:type="spellEnd"/>
                            <w:r>
                              <w:rPr>
                                <w:sz w:val="18"/>
                                <w:szCs w:val="18"/>
                              </w:rPr>
                              <w:t>)</w:t>
                            </w:r>
                            <w:r w:rsidRPr="00634BF9">
                              <w:rPr>
                                <w:sz w:val="18"/>
                                <w:szCs w:val="18"/>
                              </w:rPr>
                              <w:t xml:space="preserve"> </w:t>
                            </w:r>
                          </w:p>
                          <w:p w:rsidR="00DB0295" w:rsidRPr="00634BF9" w:rsidRDefault="00DB0295" w:rsidP="00E201E5">
                            <w:pPr>
                              <w:jc w:val="center"/>
                              <w:rPr>
                                <w:sz w:val="18"/>
                                <w:szCs w:val="18"/>
                              </w:rPr>
                            </w:pPr>
                            <w:r w:rsidRPr="00634BF9">
                              <w:rPr>
                                <w:sz w:val="18"/>
                                <w:szCs w:val="18"/>
                              </w:rPr>
                              <w:t xml:space="preserve">n= </w:t>
                            </w:r>
                            <w:r>
                              <w:rPr>
                                <w:sz w:val="18"/>
                                <w:szCs w:val="18"/>
                              </w:rPr>
                              <w:t>70</w:t>
                            </w:r>
                          </w:p>
                          <w:p w:rsidR="00DB0295" w:rsidRPr="00CA261D" w:rsidRDefault="00DB0295" w:rsidP="00E201E5">
                            <w:pPr>
                              <w:rPr>
                                <w:szCs w:val="18"/>
                              </w:rPr>
                            </w:pPr>
                          </w:p>
                        </w:txbxContent>
                      </v:textbox>
                    </v:shape>
                    <v:line id="Line 57" o:spid="_x0000_s1045" alt="line running from point to point" style="position:absolute;flip:x;visibility:visible;mso-wrap-style:square" from="6429,7270" to="6430,7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line id="Line 58" o:spid="_x0000_s1046" alt="line running from point to point" style="position:absolute;flip:x;visibility:visible;mso-wrap-style:square" from="6428,8618" to="6431,8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group>
                  <v:group id="Group 59" o:spid="_x0000_s1047" style="position:absolute;left:7608;top:7272;width:1768;height:1707" coordorigin="7608,7283" coordsize="1768,17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Text Box 60" o:spid="_x0000_s1048" type="#_x0000_t202" alt="No Betadine wash, Oral cotrimoxazole&#10;(0.5ml/kg bd) &#10;n= 70&#10;" style="position:absolute;left:7608;top:7630;width:1768;height:9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GUFsEA&#10;AADbAAAADwAAAGRycy9kb3ducmV2LnhtbESP0YrCMBRE34X9h3AXfNNUEZVqlFUQRASx+gHX5trW&#10;bW5KE239eyMIPg4zc4aZL1tTigfVrrCsYNCPQBCnVhecKTifNr0pCOeRNZaWScGTHCwXP505xto2&#10;fKRH4jMRIOxiVJB7X8VSujQng65vK+LgXW1t0AdZZ1LX2AS4KeUwisbSYMFhIceK1jml/8ndKEgm&#10;yeZ5a0bNnsrLTmtamcN4pVT3t/2bgfDU+m/4095qBaMBvL+EH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RlBbBAAAA2wAAAA8AAAAAAAAAAAAAAAAAmAIAAGRycy9kb3du&#10;cmV2LnhtbFBLBQYAAAAABAAEAPUAAACGAwAAAAA=&#10;">
                      <v:textbox inset="1mm,1mm,1mm,1mm">
                        <w:txbxContent>
                          <w:p w:rsidR="00DB0295" w:rsidRDefault="00DB0295" w:rsidP="00E201E5">
                            <w:pPr>
                              <w:jc w:val="center"/>
                              <w:rPr>
                                <w:sz w:val="18"/>
                                <w:szCs w:val="18"/>
                              </w:rPr>
                            </w:pPr>
                            <w:r>
                              <w:rPr>
                                <w:sz w:val="18"/>
                                <w:szCs w:val="18"/>
                              </w:rPr>
                              <w:t xml:space="preserve">No </w:t>
                            </w:r>
                            <w:proofErr w:type="spellStart"/>
                            <w:r w:rsidRPr="00634BF9">
                              <w:rPr>
                                <w:sz w:val="18"/>
                                <w:szCs w:val="18"/>
                              </w:rPr>
                              <w:t>Betadine</w:t>
                            </w:r>
                            <w:proofErr w:type="spellEnd"/>
                            <w:r w:rsidRPr="00634BF9">
                              <w:rPr>
                                <w:sz w:val="18"/>
                                <w:szCs w:val="18"/>
                              </w:rPr>
                              <w:t xml:space="preserve"> wash, </w:t>
                            </w:r>
                            <w:r>
                              <w:rPr>
                                <w:sz w:val="18"/>
                                <w:szCs w:val="18"/>
                              </w:rPr>
                              <w:t xml:space="preserve">Oral </w:t>
                            </w:r>
                            <w:proofErr w:type="spellStart"/>
                            <w:r>
                              <w:rPr>
                                <w:sz w:val="18"/>
                                <w:szCs w:val="18"/>
                              </w:rPr>
                              <w:t>cotrimoxazole</w:t>
                            </w:r>
                            <w:proofErr w:type="spellEnd"/>
                          </w:p>
                          <w:p w:rsidR="00DB0295" w:rsidRPr="00634BF9" w:rsidRDefault="00DB0295" w:rsidP="00E201E5">
                            <w:pPr>
                              <w:jc w:val="center"/>
                              <w:rPr>
                                <w:sz w:val="18"/>
                                <w:szCs w:val="18"/>
                              </w:rPr>
                            </w:pPr>
                            <w:r>
                              <w:rPr>
                                <w:sz w:val="18"/>
                                <w:szCs w:val="18"/>
                              </w:rPr>
                              <w:t xml:space="preserve">(0.5ml/kg </w:t>
                            </w:r>
                            <w:proofErr w:type="spellStart"/>
                            <w:r>
                              <w:rPr>
                                <w:sz w:val="18"/>
                                <w:szCs w:val="18"/>
                              </w:rPr>
                              <w:t>bd</w:t>
                            </w:r>
                            <w:proofErr w:type="spellEnd"/>
                            <w:r>
                              <w:rPr>
                                <w:sz w:val="18"/>
                                <w:szCs w:val="18"/>
                              </w:rPr>
                              <w:t>)</w:t>
                            </w:r>
                            <w:r w:rsidRPr="00634BF9">
                              <w:rPr>
                                <w:sz w:val="18"/>
                                <w:szCs w:val="18"/>
                              </w:rPr>
                              <w:t xml:space="preserve"> </w:t>
                            </w:r>
                          </w:p>
                          <w:p w:rsidR="00DB0295" w:rsidRPr="00634BF9" w:rsidRDefault="00DB0295" w:rsidP="00E201E5">
                            <w:pPr>
                              <w:jc w:val="center"/>
                              <w:rPr>
                                <w:sz w:val="18"/>
                                <w:szCs w:val="18"/>
                              </w:rPr>
                            </w:pPr>
                            <w:r w:rsidRPr="00634BF9">
                              <w:rPr>
                                <w:sz w:val="18"/>
                                <w:szCs w:val="18"/>
                              </w:rPr>
                              <w:t xml:space="preserve">n= </w:t>
                            </w:r>
                            <w:r>
                              <w:rPr>
                                <w:sz w:val="18"/>
                                <w:szCs w:val="18"/>
                              </w:rPr>
                              <w:t>70</w:t>
                            </w:r>
                          </w:p>
                          <w:p w:rsidR="00DB0295" w:rsidRPr="00CA261D" w:rsidRDefault="00DB0295" w:rsidP="00E201E5">
                            <w:pPr>
                              <w:rPr>
                                <w:szCs w:val="18"/>
                              </w:rPr>
                            </w:pPr>
                          </w:p>
                        </w:txbxContent>
                      </v:textbox>
                    </v:shape>
                    <v:line id="Line 61" o:spid="_x0000_s1049" alt="line running from point to point" style="position:absolute;flip:x;visibility:visible;mso-wrap-style:square" from="8490,7283" to="8493,7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42ksUAAADbAAAADwAAAGRycy9kb3ducmV2LnhtbESPQWsCMRSE70L/Q3iFXkSzihRdjSKC&#10;0IOX2rLi7bl5bpbdvKxJqtt/3xQKPQ4z8w2z2vS2FXfyoXasYDLOQBCXTtdcKfj82I/mIEJE1tg6&#10;JgXfFGCzfhqsMNfuwe90P8ZKJAiHHBWYGLtcylAashjGriNO3tV5izFJX0nt8ZHgtpXTLHuVFmtO&#10;CwY72hkqm+OXVSDnh+HNby+zpmhOp4UpyqI7H5R6ee63SxCR+vgf/mu/aQW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42ksUAAADbAAAADwAAAAAAAAAA&#10;AAAAAAChAgAAZHJzL2Rvd25yZXYueG1sUEsFBgAAAAAEAAQA+QAAAJMDAAAAAA==&#10;"/>
                    <v:line id="Line 62" o:spid="_x0000_s1050" alt="line running from point to point" style="position:absolute;flip:x;visibility:visible;mso-wrap-style:square" from="8490,8620" to="8493,8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KTCcUAAADbAAAADwAAAGRycy9kb3ducmV2LnhtbESPQWsCMRSE74L/IbxCL6VmrVJ0NYoU&#10;Ch68VGXF23Pzull287JNUt3++6ZQ8DjMzDfMct3bVlzJh9qxgvEoA0FcOl1zpeB4eH+egQgRWWPr&#10;mBT8UID1ajhYYq7djT/ouo+VSBAOOSowMXa5lKE0ZDGMXEecvE/nLcYkfSW1x1uC21a+ZNmrtFhz&#10;WjDY0Zuhstl/WwVytnv68pvLtCma02luirLozjulHh/6zQJEpD7ew//trVYwncD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KTCcUAAADbAAAADwAAAAAAAAAA&#10;AAAAAAChAgAAZHJzL2Rvd25yZXYueG1sUEsFBgAAAAAEAAQA+QAAAJMDAAAAAA==&#10;"/>
                  </v:group>
                  <v:group id="Group 63" o:spid="_x0000_s1051" style="position:absolute;left:9713;top:7264;width:1767;height:1724" coordorigin="9713,7264" coordsize="1767,1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Text Box 64" o:spid="_x0000_s1052" type="#_x0000_t202" alt="No Betadine wash, Oral placebo&#10;(0.5ml/kg bd) &#10;n= 70&#10;" style="position:absolute;left:9713;top:7637;width:1767;height: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qSFcQA&#10;AADbAAAADwAAAGRycy9kb3ducmV2LnhtbESP0WrCQBRE3wX/YblC35qNYm2J2QRTEEopFNN+wDV7&#10;m6Rm74bs1sS/7wqCj8PMnGHSfDKdONPgWssKllEMgriyuuVawffX/vEFhPPIGjvLpOBCDvJsPksx&#10;0XbkA51LX4sAYZeggsb7PpHSVQ0ZdJHtiYP3YweDPsihlnrAMcBNJ1dxvJEGWw4LDfb02lB1Kv+M&#10;gvK53F9+x/X4Qd3xXWsqzOemUOphMe22IDxN/h6+td+0gvUTXL+EH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qkhXEAAAA2wAAAA8AAAAAAAAAAAAAAAAAmAIAAGRycy9k&#10;b3ducmV2LnhtbFBLBQYAAAAABAAEAPUAAACJAwAAAAA=&#10;">
                      <v:textbox inset="1mm,1mm,1mm,1mm">
                        <w:txbxContent>
                          <w:p w:rsidR="00DB0295" w:rsidRDefault="00DB0295" w:rsidP="00E201E5">
                            <w:pPr>
                              <w:jc w:val="center"/>
                              <w:rPr>
                                <w:sz w:val="18"/>
                                <w:szCs w:val="18"/>
                              </w:rPr>
                            </w:pPr>
                            <w:r>
                              <w:rPr>
                                <w:sz w:val="18"/>
                                <w:szCs w:val="18"/>
                              </w:rPr>
                              <w:t xml:space="preserve">No </w:t>
                            </w:r>
                            <w:proofErr w:type="spellStart"/>
                            <w:r w:rsidRPr="00634BF9">
                              <w:rPr>
                                <w:sz w:val="18"/>
                                <w:szCs w:val="18"/>
                              </w:rPr>
                              <w:t>Betadine</w:t>
                            </w:r>
                            <w:proofErr w:type="spellEnd"/>
                            <w:r w:rsidRPr="00634BF9">
                              <w:rPr>
                                <w:sz w:val="18"/>
                                <w:szCs w:val="18"/>
                              </w:rPr>
                              <w:t xml:space="preserve"> wash, </w:t>
                            </w:r>
                            <w:r>
                              <w:rPr>
                                <w:sz w:val="18"/>
                                <w:szCs w:val="18"/>
                              </w:rPr>
                              <w:t>Oral placebo</w:t>
                            </w:r>
                          </w:p>
                          <w:p w:rsidR="00DB0295" w:rsidRPr="00634BF9" w:rsidRDefault="00DB0295" w:rsidP="00E201E5">
                            <w:pPr>
                              <w:jc w:val="center"/>
                              <w:rPr>
                                <w:sz w:val="18"/>
                                <w:szCs w:val="18"/>
                              </w:rPr>
                            </w:pPr>
                            <w:r>
                              <w:rPr>
                                <w:sz w:val="18"/>
                                <w:szCs w:val="18"/>
                              </w:rPr>
                              <w:t xml:space="preserve">(0.5ml/kg </w:t>
                            </w:r>
                            <w:proofErr w:type="spellStart"/>
                            <w:r>
                              <w:rPr>
                                <w:sz w:val="18"/>
                                <w:szCs w:val="18"/>
                              </w:rPr>
                              <w:t>bd</w:t>
                            </w:r>
                            <w:proofErr w:type="spellEnd"/>
                            <w:r>
                              <w:rPr>
                                <w:sz w:val="18"/>
                                <w:szCs w:val="18"/>
                              </w:rPr>
                              <w:t>)</w:t>
                            </w:r>
                            <w:r w:rsidRPr="00634BF9">
                              <w:rPr>
                                <w:sz w:val="18"/>
                                <w:szCs w:val="18"/>
                              </w:rPr>
                              <w:t xml:space="preserve"> </w:t>
                            </w:r>
                          </w:p>
                          <w:p w:rsidR="00DB0295" w:rsidRPr="00634BF9" w:rsidRDefault="00DB0295" w:rsidP="00E201E5">
                            <w:pPr>
                              <w:jc w:val="center"/>
                              <w:rPr>
                                <w:sz w:val="18"/>
                                <w:szCs w:val="18"/>
                              </w:rPr>
                            </w:pPr>
                            <w:r w:rsidRPr="00634BF9">
                              <w:rPr>
                                <w:sz w:val="18"/>
                                <w:szCs w:val="18"/>
                              </w:rPr>
                              <w:t xml:space="preserve">n= </w:t>
                            </w:r>
                            <w:r>
                              <w:rPr>
                                <w:sz w:val="18"/>
                                <w:szCs w:val="18"/>
                              </w:rPr>
                              <w:t>70</w:t>
                            </w:r>
                          </w:p>
                          <w:p w:rsidR="00DB0295" w:rsidRPr="00634BF9" w:rsidRDefault="00DB0295" w:rsidP="00E201E5">
                            <w:pPr>
                              <w:jc w:val="center"/>
                              <w:rPr>
                                <w:sz w:val="18"/>
                                <w:szCs w:val="18"/>
                              </w:rPr>
                            </w:pPr>
                          </w:p>
                        </w:txbxContent>
                      </v:textbox>
                    </v:shape>
                    <v:line id="Line 65" o:spid="_x0000_s1053" alt="line running from point to point" style="position:absolute;flip:x;visibility:visible;mso-wrap-style:square" from="10596,7264" to="10597,7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66" o:spid="_x0000_s1054" alt="line running from point to point" style="position:absolute;flip:x;visibility:visible;mso-wrap-style:square" from="10595,8618" to="10598,8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VCsUAAADbAAAADwAAAAAAAAAA&#10;AAAAAAChAgAAZHJzL2Rvd25yZXYueG1sUEsFBgAAAAAEAAQA+QAAAJMDAAAAAA==&#10;"/>
                  </v:group>
                </v:group>
                <v:shape id="Text Box 67" o:spid="_x0000_s1055" type="#_x0000_t202" alt="16 week follow up" style="position:absolute;left:3503;top:8973;width:7939;height: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s9i78A&#10;AADbAAAADwAAAGRycy9kb3ducmV2LnhtbERPzYrCMBC+C75DGMGbpoq40jUWKwgigmz1AWab2bZr&#10;MylNtPXtzUHw+PH9r5Pe1OJBrassK5hNIxDEudUVFwqul/1kBcJ5ZI21ZVLwJAfJZjhYY6xtxz/0&#10;yHwhQgi7GBWU3jexlC4vyaCb2oY4cH+2NegDbAupW+xCuKnlPIqW0mDFoaHEhnYl5bfsbhRkX9n+&#10;+d8tuhPVv0etKTXnZarUeNRvv0F46v1H/HYftIJFGBu+h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Kz2LvwAAANsAAAAPAAAAAAAAAAAAAAAAAJgCAABkcnMvZG93bnJl&#10;di54bWxQSwUGAAAAAAQABAD1AAAAhAMAAAAA&#10;">
                  <v:textbox inset="1mm,1mm,1mm,1mm">
                    <w:txbxContent>
                      <w:p w:rsidR="00DB0295" w:rsidRPr="00B423A8" w:rsidRDefault="00DB0295" w:rsidP="00E201E5">
                        <w:pPr>
                          <w:jc w:val="center"/>
                          <w:rPr>
                            <w:szCs w:val="18"/>
                          </w:rPr>
                        </w:pPr>
                        <w:r w:rsidRPr="00B423A8">
                          <w:rPr>
                            <w:szCs w:val="18"/>
                          </w:rPr>
                          <w:t xml:space="preserve"> </w:t>
                        </w:r>
                        <w:r>
                          <w:rPr>
                            <w:sz w:val="18"/>
                            <w:szCs w:val="18"/>
                          </w:rPr>
                          <w:t>16</w:t>
                        </w:r>
                        <w:r w:rsidRPr="00B423A8">
                          <w:rPr>
                            <w:sz w:val="18"/>
                            <w:szCs w:val="18"/>
                          </w:rPr>
                          <w:t xml:space="preserve"> week follow</w:t>
                        </w:r>
                        <w:r>
                          <w:rPr>
                            <w:sz w:val="18"/>
                            <w:szCs w:val="18"/>
                          </w:rPr>
                          <w:t xml:space="preserve"> </w:t>
                        </w:r>
                        <w:r w:rsidRPr="00B423A8">
                          <w:rPr>
                            <w:sz w:val="18"/>
                            <w:szCs w:val="18"/>
                          </w:rPr>
                          <w:t>up</w:t>
                        </w:r>
                      </w:p>
                    </w:txbxContent>
                  </v:textbox>
                </v:shape>
                <v:shape id="Text Box 68" o:spid="_x0000_s1056" type="#_x0000_t202" alt="12 Month follow up" style="position:absolute;left:3503;top:9678;width:7939;height: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YEMMA&#10;AADbAAAADwAAAGRycy9kb3ducmV2LnhtbESP3WrCQBSE7wu+w3IE7+qmJViNrlILAZFCMfoAx+wx&#10;ic2eDdltft7eLRR6OczMN8xmN5hadNS6yrKCl3kEgji3uuJCweWcPi9BOI+ssbZMCkZysNtOnjaY&#10;aNvzibrMFyJA2CWooPS+SaR0eUkG3dw2xMG72dagD7ItpG6xD3BTy9coWkiDFYeFEhv6KCn/zn6M&#10;guwtS8d7H/efVF+PWtPefC32Ss2mw/sahKfB/4f/2getIF7B7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eYEMMAAADbAAAADwAAAAAAAAAAAAAAAACYAgAAZHJzL2Rv&#10;d25yZXYueG1sUEsFBgAAAAAEAAQA9QAAAIgDAAAAAA==&#10;">
                  <v:textbox inset="1mm,1mm,1mm,1mm">
                    <w:txbxContent>
                      <w:p w:rsidR="00DB0295" w:rsidRPr="00B423A8" w:rsidRDefault="00DB0295" w:rsidP="00E201E5">
                        <w:pPr>
                          <w:jc w:val="center"/>
                          <w:rPr>
                            <w:szCs w:val="18"/>
                          </w:rPr>
                        </w:pPr>
                        <w:r w:rsidRPr="00B423A8">
                          <w:rPr>
                            <w:szCs w:val="18"/>
                          </w:rPr>
                          <w:t xml:space="preserve"> </w:t>
                        </w:r>
                        <w:r>
                          <w:rPr>
                            <w:sz w:val="18"/>
                            <w:szCs w:val="18"/>
                          </w:rPr>
                          <w:t>12 month</w:t>
                        </w:r>
                        <w:r w:rsidRPr="00B423A8">
                          <w:rPr>
                            <w:sz w:val="18"/>
                            <w:szCs w:val="18"/>
                          </w:rPr>
                          <w:t xml:space="preserve"> follow</w:t>
                        </w:r>
                        <w:r>
                          <w:rPr>
                            <w:sz w:val="18"/>
                            <w:szCs w:val="18"/>
                          </w:rPr>
                          <w:t xml:space="preserve"> </w:t>
                        </w:r>
                        <w:r w:rsidRPr="00B423A8">
                          <w:rPr>
                            <w:sz w:val="18"/>
                            <w:szCs w:val="18"/>
                          </w:rPr>
                          <w:t>up</w:t>
                        </w:r>
                      </w:p>
                    </w:txbxContent>
                  </v:textbox>
                </v:shape>
                <v:line id="Line 69" o:spid="_x0000_s1057" alt="line running from point to point" style="position:absolute;visibility:visible;mso-wrap-style:square" from="7472,9399" to="7473,9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shape id="Text Box 70" o:spid="_x0000_s1058" type="#_x0000_t202" alt="Usual treatment (ciprofloxacin drops, tissue spears) plus:" style="position:absolute;left:1680;top:7683;width:1425;height:9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fsrcUA&#10;AADbAAAADwAAAGRycy9kb3ducmV2LnhtbESPT2vCQBDF74LfYRmhF9FN1IiNriLSQosn/x16G7Jj&#10;EszOhuzWxH76bqHg8fHm/d681aYzlbhT40rLCuJxBII4s7rkXMH59D5agHAeWWNlmRQ8yMFm3e+t&#10;MNW25QPdjz4XAcIuRQWF93UqpcsKMujGtiYO3tU2Bn2QTS51g22Am0pOomguDZYcGgqsaVdQdjt+&#10;m/BGN8x41hLFX3wYvr3+fE4v+0Spl0G3XYLw1Pnn8X/6QytIYvjbEgA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l+ytxQAAANsAAAAPAAAAAAAAAAAAAAAAAJgCAABkcnMv&#10;ZG93bnJldi54bWxQSwUGAAAAAAQABAD1AAAAigMAAAAA&#10;" filled="f" stroked="f">
                  <v:textbox style="mso-fit-shape-to-text:t" inset="1mm,1mm,1mm,1mm">
                    <w:txbxContent>
                      <w:p w:rsidR="00DB0295" w:rsidRDefault="00DB0295" w:rsidP="00E201E5">
                        <w:r w:rsidRPr="00FD4EF8">
                          <w:rPr>
                            <w:sz w:val="18"/>
                            <w:szCs w:val="18"/>
                          </w:rPr>
                          <w:t>Usual treatment</w:t>
                        </w:r>
                        <w:r>
                          <w:t xml:space="preserve"> </w:t>
                        </w:r>
                        <w:r w:rsidRPr="00FD4EF8">
                          <w:rPr>
                            <w:sz w:val="18"/>
                            <w:szCs w:val="18"/>
                          </w:rPr>
                          <w:t>(ciprofloxacin</w:t>
                        </w:r>
                        <w:r>
                          <w:rPr>
                            <w:sz w:val="18"/>
                            <w:szCs w:val="18"/>
                          </w:rPr>
                          <w:t xml:space="preserve"> drops,</w:t>
                        </w:r>
                        <w:r w:rsidR="00C50EC1">
                          <w:rPr>
                            <w:sz w:val="18"/>
                            <w:szCs w:val="18"/>
                          </w:rPr>
                          <w:t xml:space="preserve"> </w:t>
                        </w:r>
                        <w:bookmarkStart w:id="1" w:name="_GoBack"/>
                        <w:bookmarkEnd w:id="1"/>
                        <w:r>
                          <w:rPr>
                            <w:sz w:val="18"/>
                            <w:szCs w:val="18"/>
                          </w:rPr>
                          <w:t>tissue spears)</w:t>
                        </w:r>
                        <w:r w:rsidRPr="00FD4EF8">
                          <w:rPr>
                            <w:sz w:val="18"/>
                            <w:szCs w:val="18"/>
                          </w:rPr>
                          <w:t xml:space="preserve"> plus:</w:t>
                        </w:r>
                      </w:p>
                    </w:txbxContent>
                  </v:textbox>
                </v:shape>
                <v:shape id="Text Box 71" o:spid="_x0000_s1059" type="#_x0000_t202" alt="Bracket stating all information is related to each other" style="position:absolute;left:2867;top:7442;width:636;height:12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Vy2sQA&#10;AADbAAAADwAAAGRycy9kb3ducmV2LnhtbESPzYrCQBCE78K+w9ALXkQn/uJGR1kWBcWTrh68NZne&#10;JJjpCZnRRJ/eEYQ9FtX1Vdd82ZhC3KhyuWUF/V4EgjixOudUwfF33Z2CcB5ZY2GZFNzJwXLx0Zpj&#10;rG3Ne7odfCoChF2MCjLvy1hKl2Rk0PVsSRy8P1sZ9EFWqdQV1gFuCjmIook0mHNoyLCkn4ySy+Fq&#10;whtNJ+FRTdQ/876z+npsh6fdWKn2Z/M9A+Gp8f/H7/RGKxgP4LUlAE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FctrEAAAA2wAAAA8AAAAAAAAAAAAAAAAAmAIAAGRycy9k&#10;b3ducmV2LnhtbFBLBQYAAAAABAAEAPUAAACJAwAAAAA=&#10;" filled="f" stroked="f">
                  <v:textbox style="mso-fit-shape-to-text:t" inset="1mm,1mm,1mm,1mm">
                    <w:txbxContent>
                      <w:p w:rsidR="00DB0295" w:rsidRPr="00FD4EF8" w:rsidRDefault="00DB0295" w:rsidP="00E201E5">
                        <w:pPr>
                          <w:jc w:val="center"/>
                          <w:rPr>
                            <w:sz w:val="96"/>
                            <w:szCs w:val="96"/>
                          </w:rPr>
                        </w:pPr>
                        <w:r w:rsidRPr="00FD4EF8">
                          <w:rPr>
                            <w:sz w:val="96"/>
                            <w:szCs w:val="96"/>
                          </w:rPr>
                          <w:t>{</w:t>
                        </w:r>
                      </w:p>
                    </w:txbxContent>
                  </v:textbox>
                </v:shape>
                <v:shape id="AutoShape 72" o:spid="_x0000_s1060" type="#_x0000_t32" alt="line moving from point to point" style="position:absolute;left:7472;top:2193;width:1;height: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AutoShape 73" o:spid="_x0000_s1061" type="#_x0000_t32" alt="line running from point to point" style="position:absolute;left:7472;top:4099;width:2;height:6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yFlcQAAADbAAAADwAAAGRycy9kb3ducmV2LnhtbESPQWsCMRSE74X+h/AEL0WzK1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IWVxAAAANsAAAAPAAAAAAAAAAAA&#10;AAAAAKECAABkcnMvZG93bnJldi54bWxQSwUGAAAAAAQABAD5AAAAkgMAAAAA&#10;"/>
                <v:shape id="AutoShape 74" o:spid="_x0000_s1062" type="#_x0000_t32" alt="line running from point to point" style="position:absolute;left:7472;top:5541;width:1;height:9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shape id="AutoShape 75" o:spid="_x0000_s1063" type="#_x0000_t32" alt="line running from point to point" style="position:absolute;left:7472;top:6916;width:1;height: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shape id="AutoShape 76" o:spid="_x0000_s1064" type="#_x0000_t32" alt="line running from point to point" style="position:absolute;left:4359;top:7263;width:623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w10:anchorlock/>
              </v:group>
            </w:pict>
          </mc:Fallback>
        </mc:AlternateContent>
      </w:r>
    </w:p>
    <w:p w:rsidR="00BA6265" w:rsidRPr="00B96EAD" w:rsidRDefault="00BA6265" w:rsidP="001F40CA">
      <w:pPr>
        <w:pStyle w:val="Heading6"/>
        <w:rPr>
          <w:lang w:bidi="bn-BD"/>
        </w:rPr>
      </w:pPr>
      <w:r w:rsidRPr="00B96EAD">
        <w:rPr>
          <w:lang w:bidi="bn-BD"/>
        </w:rPr>
        <w:t>Blinding</w:t>
      </w:r>
      <w:r w:rsidR="001F40CA">
        <w:rPr>
          <w:lang w:bidi="bn-BD"/>
        </w:rPr>
        <w:t>:</w:t>
      </w:r>
    </w:p>
    <w:p w:rsidR="00BA6265" w:rsidRDefault="00BA6265" w:rsidP="008041C8">
      <w:pPr>
        <w:pStyle w:val="BodyText2"/>
        <w:widowControl/>
        <w:spacing w:after="120" w:line="240" w:lineRule="auto"/>
        <w:rPr>
          <w:b/>
          <w:lang w:bidi="bn-BD"/>
        </w:rPr>
      </w:pPr>
      <w:r w:rsidRPr="00B96EAD">
        <w:rPr>
          <w:szCs w:val="24"/>
        </w:rPr>
        <w:t xml:space="preserve">The research assistants collecting the primary outcome data will be unaware of the treatments assigned to each child (i.e. outcome assessor blinded). Families and staff will be aware of which </w:t>
      </w:r>
      <w:r w:rsidRPr="00B96EAD">
        <w:rPr>
          <w:szCs w:val="24"/>
        </w:rPr>
        <w:lastRenderedPageBreak/>
        <w:t>topical treatment is allocated.  Previously, awareness of allocation status by families has not resulted in significant performance bias. Families will not know whether their child is receiving oral antibiotic or placebo medication.</w:t>
      </w:r>
      <w:r w:rsidR="008041C8">
        <w:rPr>
          <w:b/>
          <w:lang w:bidi="bn-BD"/>
        </w:rPr>
        <w:t xml:space="preserve"> </w:t>
      </w:r>
    </w:p>
    <w:p w:rsidR="00BA6265" w:rsidRPr="00B96EAD" w:rsidRDefault="00BA6265" w:rsidP="001F40CA">
      <w:pPr>
        <w:pStyle w:val="Heading6"/>
        <w:rPr>
          <w:lang w:bidi="bn-BD"/>
        </w:rPr>
      </w:pPr>
      <w:r w:rsidRPr="00B96EAD">
        <w:rPr>
          <w:lang w:bidi="bn-BD"/>
        </w:rPr>
        <w:t>Clinical Assessment</w:t>
      </w:r>
      <w:r w:rsidR="001F40CA">
        <w:rPr>
          <w:lang w:bidi="bn-BD"/>
        </w:rPr>
        <w:t>:</w:t>
      </w:r>
    </w:p>
    <w:p w:rsidR="00BA6265" w:rsidRPr="00B96EAD" w:rsidRDefault="00BA6265" w:rsidP="00660039">
      <w:pPr>
        <w:autoSpaceDE w:val="0"/>
        <w:autoSpaceDN w:val="0"/>
        <w:adjustRightInd w:val="0"/>
        <w:spacing w:after="120"/>
        <w:rPr>
          <w:lang w:bidi="bn-BD"/>
        </w:rPr>
      </w:pPr>
      <w:r w:rsidRPr="00B96EAD">
        <w:rPr>
          <w:lang w:bidi="bn-BD"/>
        </w:rPr>
        <w:t xml:space="preserve">At the screening assessment, we will conduct a parental questionnaire, a review of clinical health records and a clinical assessment. The following information will be recorded from clinical records, school records, and interview: date of birth, history of past ear infections, pneumococcal immunisation status, recent antibiotic use, and any health problems at the time of examination. </w:t>
      </w:r>
      <w:r w:rsidRPr="00B96EAD">
        <w:t xml:space="preserve">Data on all previous ENT and audiology reviews (including all hearing assessment and </w:t>
      </w:r>
      <w:proofErr w:type="spellStart"/>
      <w:r w:rsidRPr="00B96EAD">
        <w:t>teleotology</w:t>
      </w:r>
      <w:proofErr w:type="spellEnd"/>
      <w:r w:rsidRPr="00B96EAD">
        <w:t xml:space="preserve"> reviews) and current referrals will be documented.  We will record any side effects of treatment or preferences for specific management options.  Attendance at child care, pre-school or school (and treatment provided at these locations) will also be documented.</w:t>
      </w:r>
    </w:p>
    <w:p w:rsidR="00BA6265" w:rsidRPr="00B96EAD" w:rsidRDefault="00BA6265" w:rsidP="00660039">
      <w:pPr>
        <w:autoSpaceDE w:val="0"/>
        <w:autoSpaceDN w:val="0"/>
        <w:adjustRightInd w:val="0"/>
        <w:spacing w:after="120"/>
        <w:rPr>
          <w:lang w:bidi="bn-BD"/>
        </w:rPr>
      </w:pPr>
      <w:r w:rsidRPr="00B96EAD">
        <w:rPr>
          <w:lang w:bidi="bn-BD"/>
        </w:rPr>
        <w:t xml:space="preserve">Baseline, 16 weeks and end of study (12 month) clinical assessments will be made by the trained ear health research team. Assessments will be made using a </w:t>
      </w:r>
      <w:proofErr w:type="spellStart"/>
      <w:r w:rsidRPr="00B96EAD">
        <w:rPr>
          <w:lang w:bidi="bn-BD"/>
        </w:rPr>
        <w:t>tympanometer</w:t>
      </w:r>
      <w:proofErr w:type="spellEnd"/>
      <w:r w:rsidRPr="00B96EAD">
        <w:rPr>
          <w:lang w:bidi="bn-BD"/>
        </w:rPr>
        <w:t xml:space="preserve"> (</w:t>
      </w:r>
      <w:proofErr w:type="spellStart"/>
      <w:r w:rsidRPr="00B96EAD">
        <w:rPr>
          <w:lang w:bidi="bn-BD"/>
        </w:rPr>
        <w:t>Grason</w:t>
      </w:r>
      <w:proofErr w:type="spellEnd"/>
      <w:r w:rsidRPr="00B96EAD">
        <w:rPr>
          <w:lang w:bidi="bn-BD"/>
        </w:rPr>
        <w:t xml:space="preserve"> </w:t>
      </w:r>
      <w:proofErr w:type="spellStart"/>
      <w:r w:rsidRPr="00B96EAD">
        <w:rPr>
          <w:lang w:bidi="bn-BD"/>
        </w:rPr>
        <w:t>Stadler</w:t>
      </w:r>
      <w:proofErr w:type="spellEnd"/>
      <w:r w:rsidRPr="00B96EAD">
        <w:rPr>
          <w:lang w:bidi="bn-BD"/>
        </w:rPr>
        <w:t xml:space="preserve"> GSI 139), a </w:t>
      </w:r>
      <w:proofErr w:type="spellStart"/>
      <w:r w:rsidRPr="00B96EAD">
        <w:rPr>
          <w:lang w:bidi="bn-BD"/>
        </w:rPr>
        <w:t>voroscope</w:t>
      </w:r>
      <w:proofErr w:type="spellEnd"/>
      <w:r w:rsidRPr="00B96EAD">
        <w:rPr>
          <w:lang w:bidi="bn-BD"/>
        </w:rPr>
        <w:t xml:space="preserve"> (Welch </w:t>
      </w:r>
      <w:proofErr w:type="spellStart"/>
      <w:r w:rsidRPr="00B96EAD">
        <w:rPr>
          <w:lang w:bidi="bn-BD"/>
        </w:rPr>
        <w:t>Allyn</w:t>
      </w:r>
      <w:proofErr w:type="spellEnd"/>
      <w:r w:rsidRPr="00B96EAD">
        <w:rPr>
          <w:lang w:bidi="bn-BD"/>
        </w:rPr>
        <w:t xml:space="preserve"> </w:t>
      </w:r>
      <w:proofErr w:type="spellStart"/>
      <w:r w:rsidRPr="00B96EAD">
        <w:rPr>
          <w:lang w:bidi="bn-BD"/>
        </w:rPr>
        <w:t>LumiView</w:t>
      </w:r>
      <w:proofErr w:type="spellEnd"/>
      <w:r w:rsidRPr="00B96EAD">
        <w:rPr>
          <w:lang w:bidi="bn-BD"/>
        </w:rPr>
        <w:t xml:space="preserve">) with Siegel’s speculum for pneumatic </w:t>
      </w:r>
      <w:proofErr w:type="spellStart"/>
      <w:r w:rsidRPr="00B96EAD">
        <w:rPr>
          <w:lang w:bidi="bn-BD"/>
        </w:rPr>
        <w:t>otoscopy</w:t>
      </w:r>
      <w:proofErr w:type="spellEnd"/>
      <w:r w:rsidRPr="00B96EAD">
        <w:rPr>
          <w:lang w:bidi="bn-BD"/>
        </w:rPr>
        <w:t>, and a video-</w:t>
      </w:r>
      <w:proofErr w:type="spellStart"/>
      <w:r w:rsidRPr="00B96EAD">
        <w:rPr>
          <w:lang w:bidi="bn-BD"/>
        </w:rPr>
        <w:t>otoscope</w:t>
      </w:r>
      <w:proofErr w:type="spellEnd"/>
      <w:r w:rsidRPr="00B96EAD">
        <w:rPr>
          <w:lang w:bidi="bn-BD"/>
        </w:rPr>
        <w:t xml:space="preserve"> </w:t>
      </w:r>
      <w:r w:rsidRPr="00B96EAD">
        <w:t xml:space="preserve">with macro view </w:t>
      </w:r>
      <w:r w:rsidRPr="00B96EAD">
        <w:rPr>
          <w:lang w:bidi="bn-BD"/>
        </w:rPr>
        <w:t>(</w:t>
      </w:r>
      <w:r w:rsidRPr="00B96EAD">
        <w:rPr>
          <w:iCs/>
          <w:lang w:bidi="bn-BD"/>
        </w:rPr>
        <w:t xml:space="preserve">Welch </w:t>
      </w:r>
      <w:proofErr w:type="spellStart"/>
      <w:r w:rsidRPr="00B96EAD">
        <w:rPr>
          <w:iCs/>
          <w:lang w:bidi="bn-BD"/>
        </w:rPr>
        <w:t>Allyn</w:t>
      </w:r>
      <w:proofErr w:type="spellEnd"/>
      <w:r w:rsidRPr="00B96EAD">
        <w:rPr>
          <w:iCs/>
          <w:lang w:bidi="bn-BD"/>
        </w:rPr>
        <w:t xml:space="preserve"> </w:t>
      </w:r>
      <w:proofErr w:type="spellStart"/>
      <w:r w:rsidRPr="00B96EAD">
        <w:rPr>
          <w:iCs/>
          <w:lang w:bidi="bn-BD"/>
        </w:rPr>
        <w:t>macroview</w:t>
      </w:r>
      <w:proofErr w:type="spellEnd"/>
      <w:r w:rsidRPr="00B96EAD">
        <w:rPr>
          <w:iCs/>
          <w:lang w:bidi="bn-BD"/>
        </w:rPr>
        <w:t xml:space="preserve"> or </w:t>
      </w:r>
      <w:proofErr w:type="spellStart"/>
      <w:r w:rsidRPr="00B96EAD">
        <w:rPr>
          <w:iCs/>
          <w:lang w:bidi="bn-BD"/>
        </w:rPr>
        <w:t>MedRx</w:t>
      </w:r>
      <w:proofErr w:type="spellEnd"/>
      <w:r w:rsidRPr="00B96EAD">
        <w:rPr>
          <w:iCs/>
          <w:lang w:bidi="bn-BD"/>
        </w:rPr>
        <w:t xml:space="preserve"> video-</w:t>
      </w:r>
      <w:proofErr w:type="spellStart"/>
      <w:r w:rsidRPr="00B96EAD">
        <w:rPr>
          <w:iCs/>
          <w:lang w:bidi="bn-BD"/>
        </w:rPr>
        <w:t>otoscopes</w:t>
      </w:r>
      <w:proofErr w:type="spellEnd"/>
      <w:r w:rsidRPr="00B96EAD">
        <w:rPr>
          <w:lang w:bidi="bn-BD"/>
        </w:rPr>
        <w:t>). Ear canals will be cleaned under direct vision. Data will be recorded using standardised forms. Video-</w:t>
      </w:r>
      <w:proofErr w:type="spellStart"/>
      <w:r w:rsidRPr="00B96EAD">
        <w:rPr>
          <w:lang w:bidi="bn-BD"/>
        </w:rPr>
        <w:t>otoscope</w:t>
      </w:r>
      <w:proofErr w:type="spellEnd"/>
      <w:r w:rsidRPr="00B96EAD">
        <w:rPr>
          <w:lang w:bidi="bn-BD"/>
        </w:rPr>
        <w:t xml:space="preserve"> images will be stored on a digital video recorder. All video-</w:t>
      </w:r>
      <w:proofErr w:type="spellStart"/>
      <w:r w:rsidRPr="00B96EAD">
        <w:rPr>
          <w:lang w:bidi="bn-BD"/>
        </w:rPr>
        <w:t>otoscope</w:t>
      </w:r>
      <w:proofErr w:type="spellEnd"/>
      <w:r w:rsidRPr="00B96EAD">
        <w:rPr>
          <w:lang w:bidi="bn-BD"/>
        </w:rPr>
        <w:t xml:space="preserve"> images and </w:t>
      </w:r>
      <w:proofErr w:type="spellStart"/>
      <w:r w:rsidRPr="00B96EAD">
        <w:rPr>
          <w:lang w:bidi="bn-BD"/>
        </w:rPr>
        <w:t>tympanograms</w:t>
      </w:r>
      <w:proofErr w:type="spellEnd"/>
      <w:r w:rsidRPr="00B96EAD">
        <w:rPr>
          <w:lang w:bidi="bn-BD"/>
        </w:rPr>
        <w:t xml:space="preserve"> will be reviewed by a second trained observer. Any disagreements in the assessments will be resolved by discussion with the study paediatrician.</w:t>
      </w:r>
    </w:p>
    <w:p w:rsidR="00BA6265" w:rsidRPr="00B96EAD" w:rsidRDefault="00BA6265" w:rsidP="00660039">
      <w:pPr>
        <w:autoSpaceDE w:val="0"/>
        <w:autoSpaceDN w:val="0"/>
        <w:adjustRightInd w:val="0"/>
        <w:spacing w:after="120"/>
        <w:rPr>
          <w:lang w:bidi="bn-BD"/>
        </w:rPr>
      </w:pPr>
      <w:r w:rsidRPr="00B96EAD">
        <w:rPr>
          <w:lang w:bidi="bn-BD"/>
        </w:rPr>
        <w:t>Middle ear states will be categorised as follows: (1) normal; (2) otitis media with effusion (OME); (3) acute otitis media without perforation (</w:t>
      </w:r>
      <w:proofErr w:type="spellStart"/>
      <w:r w:rsidRPr="00B96EAD">
        <w:rPr>
          <w:lang w:bidi="bn-BD"/>
        </w:rPr>
        <w:t>AOMwoP</w:t>
      </w:r>
      <w:proofErr w:type="spellEnd"/>
      <w:r w:rsidRPr="00B96EAD">
        <w:rPr>
          <w:lang w:bidi="bn-BD"/>
        </w:rPr>
        <w:t>); (4) AOM with perforation (</w:t>
      </w:r>
      <w:proofErr w:type="spellStart"/>
      <w:r w:rsidRPr="00B96EAD">
        <w:rPr>
          <w:lang w:bidi="bn-BD"/>
        </w:rPr>
        <w:t>AOMwiP</w:t>
      </w:r>
      <w:proofErr w:type="spellEnd"/>
      <w:r w:rsidRPr="00B96EAD">
        <w:rPr>
          <w:lang w:bidi="bn-BD"/>
        </w:rPr>
        <w:t xml:space="preserve">); (5) dry perforation; and (6) chronic </w:t>
      </w:r>
      <w:proofErr w:type="spellStart"/>
      <w:r w:rsidRPr="00B96EAD">
        <w:rPr>
          <w:lang w:bidi="bn-BD"/>
        </w:rPr>
        <w:t>suppurative</w:t>
      </w:r>
      <w:proofErr w:type="spellEnd"/>
      <w:r w:rsidRPr="00B96EAD">
        <w:rPr>
          <w:lang w:bidi="bn-BD"/>
        </w:rPr>
        <w:t xml:space="preserve"> otitis media (CSOM). The following definitions will be applied to children diagnosed with a TM perforation: CSOM- Perforation size &gt;2% and discharge for more than 2 weeks; Dry perforation- perforation with no discharge; </w:t>
      </w:r>
      <w:proofErr w:type="spellStart"/>
      <w:r w:rsidRPr="00B96EAD">
        <w:rPr>
          <w:lang w:bidi="bn-BD"/>
        </w:rPr>
        <w:t>AOMwiP</w:t>
      </w:r>
      <w:proofErr w:type="spellEnd"/>
      <w:r w:rsidRPr="00B96EAD">
        <w:rPr>
          <w:lang w:bidi="bn-BD"/>
        </w:rPr>
        <w:t xml:space="preserve">- bulging TM and discharge &lt; 2 weeks and/or with perforation &lt;2% pars </w:t>
      </w:r>
      <w:proofErr w:type="spellStart"/>
      <w:r w:rsidRPr="00B96EAD">
        <w:rPr>
          <w:lang w:bidi="bn-BD"/>
        </w:rPr>
        <w:t>tensa</w:t>
      </w:r>
      <w:proofErr w:type="spellEnd"/>
      <w:r w:rsidRPr="00B96EAD">
        <w:rPr>
          <w:lang w:bidi="bn-BD"/>
        </w:rPr>
        <w:t xml:space="preserve">.  The final middle ear diagnosis will reflect the child’s more severely affected ear. The hierarchy for clinical severity is pre-specified: Perforation and discharge &gt; Perforation and no discharge &gt; No discharge and at least moderate bulging &gt; No discharge and mild bulging &gt; No discharge and neutral or retracted. </w:t>
      </w:r>
    </w:p>
    <w:p w:rsidR="00BA6265" w:rsidRPr="00B96EAD" w:rsidRDefault="00BA6265" w:rsidP="00660039">
      <w:pPr>
        <w:spacing w:after="120"/>
        <w:rPr>
          <w:lang w:bidi="bn-BD"/>
        </w:rPr>
      </w:pPr>
      <w:r w:rsidRPr="00B96EAD">
        <w:rPr>
          <w:lang w:bidi="bn-BD"/>
        </w:rPr>
        <w:t xml:space="preserve">Children who are found to have other forms of otitis media at the screening assessment will receive recommended standard treatment. They will be referred to health centre clinical staff for appropriate ongoing care.  We have developed training videos illustrating the appearance of TMs and showing how perforation first occurs in young Aboriginal children. These will be used for professional development of health practitioners and in discussions with parents. Children participating in the study will also continue to receive additional medical and surgical treatment as indicated.  </w:t>
      </w:r>
    </w:p>
    <w:p w:rsidR="00BA6265" w:rsidRDefault="00BA6265" w:rsidP="001F40CA">
      <w:pPr>
        <w:autoSpaceDE w:val="0"/>
        <w:autoSpaceDN w:val="0"/>
        <w:adjustRightInd w:val="0"/>
        <w:spacing w:after="720"/>
        <w:rPr>
          <w:b/>
        </w:rPr>
      </w:pPr>
      <w:r w:rsidRPr="00B96EAD">
        <w:rPr>
          <w:lang w:bidi="bn-BD"/>
        </w:rPr>
        <w:t>Records of the most recent hearing assessment will be documented at baseline and at the end of the study.  The current OATSIH Guidelines recommend that hearing is tested within 3 months of the diagnosis of CSOM and to monitor the outcomes of interventions.  Similarly, the Department of Health recommends testing of hearing in all children with dry perforations so suitability for surgery can be determined.  As a minimum, all the children in this study would be expected to have hearing assessed at baseline and again at follow-up. Since the collaborating communities are Regional Development Sites, they have access to a sound proof booth and a visiting audiology service.</w:t>
      </w:r>
      <w:r w:rsidR="008041C8">
        <w:rPr>
          <w:b/>
        </w:rPr>
        <w:t xml:space="preserve"> </w:t>
      </w:r>
    </w:p>
    <w:p w:rsidR="00BA6265" w:rsidRPr="00B96EAD" w:rsidRDefault="00BA6265" w:rsidP="001F40CA">
      <w:pPr>
        <w:pStyle w:val="Heading6"/>
      </w:pPr>
      <w:r w:rsidRPr="00B96EAD">
        <w:t>Microbiology</w:t>
      </w:r>
      <w:r w:rsidR="001F40CA">
        <w:t>:</w:t>
      </w:r>
    </w:p>
    <w:p w:rsidR="00BA6265" w:rsidRPr="00B96EAD" w:rsidRDefault="00BA6265" w:rsidP="00660039">
      <w:r w:rsidRPr="00B96EAD">
        <w:t>Ear discharge and nasopharyngeal swabs will be collected at each examination. These will be frozen and flown to Darwin in a liquid nitrogen shipper. All nasal and ear discharge swabs will be cultured for respiratory bacteria (</w:t>
      </w:r>
      <w:r w:rsidRPr="00B96EAD">
        <w:rPr>
          <w:i/>
          <w:iCs/>
        </w:rPr>
        <w:t xml:space="preserve">Streptococcus </w:t>
      </w:r>
      <w:proofErr w:type="spellStart"/>
      <w:r w:rsidRPr="00B96EAD">
        <w:rPr>
          <w:i/>
          <w:iCs/>
        </w:rPr>
        <w:t>pneumoniae</w:t>
      </w:r>
      <w:proofErr w:type="spellEnd"/>
      <w:r w:rsidRPr="00B96EAD">
        <w:t xml:space="preserve">, </w:t>
      </w:r>
      <w:proofErr w:type="spellStart"/>
      <w:r w:rsidRPr="00B96EAD">
        <w:rPr>
          <w:i/>
          <w:iCs/>
        </w:rPr>
        <w:t>Haemophilus</w:t>
      </w:r>
      <w:proofErr w:type="spellEnd"/>
      <w:r w:rsidRPr="00B96EAD">
        <w:rPr>
          <w:i/>
          <w:iCs/>
        </w:rPr>
        <w:t xml:space="preserve"> </w:t>
      </w:r>
      <w:proofErr w:type="spellStart"/>
      <w:r w:rsidRPr="00B96EAD">
        <w:rPr>
          <w:i/>
          <w:iCs/>
        </w:rPr>
        <w:t>influenzae</w:t>
      </w:r>
      <w:proofErr w:type="spellEnd"/>
      <w:r w:rsidRPr="00B96EAD">
        <w:t xml:space="preserve"> and </w:t>
      </w:r>
      <w:r w:rsidRPr="00B96EAD">
        <w:rPr>
          <w:i/>
          <w:iCs/>
        </w:rPr>
        <w:t xml:space="preserve">Moraxella </w:t>
      </w:r>
      <w:proofErr w:type="spellStart"/>
      <w:r w:rsidRPr="00B96EAD">
        <w:rPr>
          <w:i/>
          <w:iCs/>
        </w:rPr>
        <w:lastRenderedPageBreak/>
        <w:t>catarrhalis</w:t>
      </w:r>
      <w:proofErr w:type="spellEnd"/>
      <w:r w:rsidRPr="00B96EAD">
        <w:t>) and the most important pathogens associated with CSOM (</w:t>
      </w:r>
      <w:r w:rsidRPr="00B96EAD">
        <w:rPr>
          <w:i/>
          <w:iCs/>
        </w:rPr>
        <w:t xml:space="preserve">Pseudomonas </w:t>
      </w:r>
      <w:proofErr w:type="spellStart"/>
      <w:r w:rsidRPr="00B96EAD">
        <w:rPr>
          <w:i/>
          <w:iCs/>
        </w:rPr>
        <w:t>aeruginosa</w:t>
      </w:r>
      <w:proofErr w:type="spellEnd"/>
      <w:r w:rsidRPr="00B96EAD">
        <w:rPr>
          <w:i/>
          <w:iCs/>
        </w:rPr>
        <w:t xml:space="preserve">, Staphylococcus </w:t>
      </w:r>
      <w:proofErr w:type="spellStart"/>
      <w:r w:rsidRPr="00B96EAD">
        <w:rPr>
          <w:i/>
          <w:iCs/>
        </w:rPr>
        <w:t>aureus</w:t>
      </w:r>
      <w:proofErr w:type="spellEnd"/>
      <w:r w:rsidRPr="00B96EAD">
        <w:rPr>
          <w:i/>
          <w:iCs/>
        </w:rPr>
        <w:t xml:space="preserve">, Proteus mirabilis, </w:t>
      </w:r>
      <w:r w:rsidRPr="00B96EAD">
        <w:rPr>
          <w:iCs/>
        </w:rPr>
        <w:t>and</w:t>
      </w:r>
      <w:r w:rsidRPr="00B96EAD">
        <w:rPr>
          <w:i/>
          <w:iCs/>
        </w:rPr>
        <w:t xml:space="preserve"> </w:t>
      </w:r>
      <w:proofErr w:type="spellStart"/>
      <w:r w:rsidRPr="00B96EAD">
        <w:rPr>
          <w:i/>
          <w:iCs/>
        </w:rPr>
        <w:t>Klebsiella</w:t>
      </w:r>
      <w:proofErr w:type="spellEnd"/>
      <w:r w:rsidRPr="00B96EAD">
        <w:rPr>
          <w:i/>
          <w:iCs/>
        </w:rPr>
        <w:t xml:space="preserve"> </w:t>
      </w:r>
      <w:proofErr w:type="spellStart"/>
      <w:r w:rsidRPr="00B96EAD">
        <w:rPr>
          <w:i/>
          <w:iCs/>
        </w:rPr>
        <w:t>pneumoniae</w:t>
      </w:r>
      <w:proofErr w:type="spellEnd"/>
      <w:r w:rsidRPr="00B96EAD">
        <w:t>).  Quantitative PCR (</w:t>
      </w:r>
      <w:proofErr w:type="spellStart"/>
      <w:r w:rsidRPr="00B96EAD">
        <w:t>qPCR</w:t>
      </w:r>
      <w:proofErr w:type="spellEnd"/>
      <w:r w:rsidRPr="00B96EAD">
        <w:t xml:space="preserve">) will also be used because of the low culture isolation rates in ear discharge. Molecular typing will be used to compare concurrent </w:t>
      </w:r>
      <w:r>
        <w:t>nasopharyngeal (</w:t>
      </w:r>
      <w:r w:rsidRPr="00B96EAD">
        <w:t>NP</w:t>
      </w:r>
      <w:r>
        <w:t>)</w:t>
      </w:r>
      <w:r w:rsidRPr="00B96EAD">
        <w:t xml:space="preserve"> and ear discharge strains and to distinguish new infection from persistence.  Levels of antibiotic resistance  will be monitored using the disk method and the E-test. We will also monitor the impact of long-term oral and topical antibiotics on the common bacterial respiratory pathogens that are carried in the nose. Our laboratory has extensive experience in the use of these methods.  Specimens will be stored at -70</w:t>
      </w:r>
      <w:r w:rsidRPr="00B96EAD">
        <w:rPr>
          <w:vertAlign w:val="superscript"/>
        </w:rPr>
        <w:t>o</w:t>
      </w:r>
      <w:r w:rsidRPr="00B96EAD">
        <w:t xml:space="preserve">C and available for further culture, serotyping and molecular typing as required. If </w:t>
      </w:r>
      <w:r w:rsidRPr="00B96EAD">
        <w:rPr>
          <w:i/>
        </w:rPr>
        <w:t>Staphylococcus</w:t>
      </w:r>
      <w:r w:rsidRPr="00B96EAD">
        <w:t xml:space="preserve"> is confirmed to be a major pathogen, we have the technological capacity to look at sequence typing.</w:t>
      </w:r>
      <w:r w:rsidR="009B5648" w:rsidRPr="00B96EAD">
        <w:fldChar w:fldCharType="begin"/>
      </w:r>
      <w:r w:rsidRPr="00B96EAD">
        <w:instrText xml:space="preserve"> ADDIN REFMGR.CITE &lt;Refman&gt;&lt;Cite&gt;&lt;Author&gt;Tong&lt;/Author&gt;&lt;Year&gt;2010&lt;/Year&gt;&lt;RecNum&gt;3853&lt;/RecNum&gt;&lt;IDText&gt;Clinical correlates of Panton-Valentine leukocidin (PVL), PVL isoforms, and clonal complex in the Staphylococcus aureus population of Northern Australia&lt;/IDText&gt;&lt;MDL Ref_Type="Journal"&gt;&lt;Ref_Type&gt;Journal&lt;/Ref_Type&gt;&lt;Ref_ID&gt;3853&lt;/Ref_ID&gt;&lt;Title_Primary&gt;Clinical correlates of Panton-Valentine leukocidin (PVL), PVL isoforms, and clonal complex in the Staphylococcus aureus population of Northern Australia&lt;/Title_Primary&gt;&lt;Authors_Primary&gt;Tong,S.Y.&lt;/Authors_Primary&gt;&lt;Authors_Primary&gt;Lilliebridge,R.A.&lt;/Authors_Primary&gt;&lt;Authors_Primary&gt;Bishop,E.J.&lt;/Authors_Primary&gt;&lt;Authors_Primary&gt;Cheng,A.C.&lt;/Authors_Primary&gt;&lt;Authors_Primary&gt;Holt,D.C.&lt;/Authors_Primary&gt;&lt;Authors_Primary&gt;McDonald,M.I.&lt;/Authors_Primary&gt;&lt;Authors_Primary&gt;Giffard,P.M.&lt;/Authors_Primary&gt;&lt;Authors_Primary&gt;Currie,B.J.&lt;/Authors_Primary&gt;&lt;Authors_Primary&gt;Boutlis,C.S.&lt;/Authors_Primary&gt;&lt;Date_Primary&gt;2010/9/1&lt;/Date_Primary&gt;&lt;Keywords&gt;Adult&lt;/Keywords&gt;&lt;Keywords&gt;Anti-Bacterial Agents&lt;/Keywords&gt;&lt;Keywords&gt;Arginine&lt;/Keywords&gt;&lt;Keywords&gt;Asia&lt;/Keywords&gt;&lt;Keywords&gt;Australia&lt;/Keywords&gt;&lt;Keywords&gt;Bacterial Toxins&lt;/Keywords&gt;&lt;Keywords&gt;Community-Acquired Infections&lt;/Keywords&gt;&lt;Keywords&gt;Disease&lt;/Keywords&gt;&lt;Keywords&gt;drug effects&lt;/Keywords&gt;&lt;Keywords&gt;epidemiology&lt;/Keywords&gt;&lt;Keywords&gt;Exotoxins&lt;/Keywords&gt;&lt;Keywords&gt;Female&lt;/Keywords&gt;&lt;Keywords&gt;genetics&lt;/Keywords&gt;&lt;Keywords&gt;Health&lt;/Keywords&gt;&lt;Keywords&gt;Humans&lt;/Keywords&gt;&lt;Keywords&gt;Infection&lt;/Keywords&gt;&lt;Keywords&gt;isolation &amp;amp; purification&lt;/Keywords&gt;&lt;Keywords&gt;Leukocidins&lt;/Keywords&gt;&lt;Keywords&gt;Male&lt;/Keywords&gt;&lt;Keywords&gt;metabolism&lt;/Keywords&gt;&lt;Keywords&gt;Methicillin&lt;/Keywords&gt;&lt;Keywords&gt;Methicillin-Resistant Staphylococcus aureus&lt;/Keywords&gt;&lt;Keywords&gt;methods&lt;/Keywords&gt;&lt;Keywords&gt;microbiology&lt;/Keywords&gt;&lt;Keywords&gt;Northern Territory&lt;/Keywords&gt;&lt;Keywords&gt;pathogenicity&lt;/Keywords&gt;&lt;Keywords&gt;pharmacology&lt;/Keywords&gt;&lt;Keywords&gt;physiopathology&lt;/Keywords&gt;&lt;Keywords&gt;Population&lt;/Keywords&gt;&lt;Keywords&gt;Prevalence&lt;/Keywords&gt;&lt;Keywords&gt;Protein Isoforms&lt;/Keywords&gt;&lt;Keywords&gt;Research&lt;/Keywords&gt;&lt;Keywords&gt;Sepsis&lt;/Keywords&gt;&lt;Keywords&gt;Staphylococcal Infections&lt;/Keywords&gt;&lt;Keywords&gt;Staphylococcus&lt;/Keywords&gt;&lt;Keywords&gt;Staphylococcus aureus&lt;/Keywords&gt;&lt;Reprint&gt;Not in File&lt;/Reprint&gt;&lt;Start_Page&gt;760&lt;/Start_Page&gt;&lt;End_Page&gt;769&lt;/End_Page&gt;&lt;Periodical&gt;J.Infect.Dis.&lt;/Periodical&gt;&lt;Volume&gt;202&lt;/Volume&gt;&lt;Issue&gt;5&lt;/Issue&gt;&lt;ZZ_JournalStdAbbrev&gt;&lt;f name="System"&gt;J.Infect.Dis.&lt;/f&gt;&lt;/ZZ_JournalStdAbbrev&gt;&lt;ZZ_WorkformID&gt;1&lt;/ZZ_WorkformID&gt;&lt;/MDL&gt;&lt;/Cite&gt;&lt;/Refman&gt;</w:instrText>
      </w:r>
      <w:r w:rsidR="009B5648" w:rsidRPr="00B96EAD">
        <w:fldChar w:fldCharType="separate"/>
      </w:r>
      <w:r w:rsidRPr="00B96EAD">
        <w:rPr>
          <w:vertAlign w:val="superscript"/>
        </w:rPr>
        <w:t>33</w:t>
      </w:r>
      <w:r w:rsidR="009B5648" w:rsidRPr="00B96EAD">
        <w:fldChar w:fldCharType="end"/>
      </w:r>
    </w:p>
    <w:p w:rsidR="00BA6265" w:rsidRPr="00B96EAD" w:rsidRDefault="00BA6265" w:rsidP="00660039">
      <w:pPr>
        <w:autoSpaceDE w:val="0"/>
        <w:autoSpaceDN w:val="0"/>
        <w:adjustRightInd w:val="0"/>
        <w:rPr>
          <w:b/>
          <w:lang w:bidi="bn-BD"/>
        </w:rPr>
      </w:pPr>
    </w:p>
    <w:p w:rsidR="00BA6265" w:rsidRDefault="00BA6265" w:rsidP="001F40CA">
      <w:pPr>
        <w:pStyle w:val="Heading6"/>
        <w:rPr>
          <w:lang w:bidi="bn-BD"/>
        </w:rPr>
      </w:pPr>
      <w:r w:rsidRPr="00B96EAD">
        <w:rPr>
          <w:lang w:bidi="bn-BD"/>
        </w:rPr>
        <w:t>Treatments</w:t>
      </w:r>
    </w:p>
    <w:p w:rsidR="00BA6265" w:rsidRPr="00B96EAD" w:rsidRDefault="00BA6265" w:rsidP="001F40CA">
      <w:pPr>
        <w:pStyle w:val="Heading7"/>
        <w:rPr>
          <w:lang w:bidi="bn-BD"/>
        </w:rPr>
      </w:pPr>
      <w:r w:rsidRPr="00B96EAD">
        <w:rPr>
          <w:lang w:bidi="bn-BD"/>
        </w:rPr>
        <w:t>A) Topical treatment</w:t>
      </w:r>
    </w:p>
    <w:p w:rsidR="00BA6265" w:rsidRPr="00B96EAD" w:rsidRDefault="00BA6265" w:rsidP="00660039">
      <w:pPr>
        <w:autoSpaceDE w:val="0"/>
        <w:autoSpaceDN w:val="0"/>
        <w:adjustRightInd w:val="0"/>
        <w:rPr>
          <w:lang w:bidi="bn-BD"/>
        </w:rPr>
      </w:pPr>
      <w:r w:rsidRPr="00B96EAD">
        <w:rPr>
          <w:lang w:bidi="bn-BD"/>
        </w:rPr>
        <w:t>Either i) Ear wash (</w:t>
      </w:r>
      <w:proofErr w:type="spellStart"/>
      <w:r w:rsidRPr="00B96EAD">
        <w:rPr>
          <w:lang w:bidi="bn-BD"/>
        </w:rPr>
        <w:t>Povidine</w:t>
      </w:r>
      <w:proofErr w:type="spellEnd"/>
      <w:r w:rsidRPr="00B96EAD">
        <w:rPr>
          <w:lang w:bidi="bn-BD"/>
        </w:rPr>
        <w:t>-iodine (</w:t>
      </w:r>
      <w:proofErr w:type="spellStart"/>
      <w:r w:rsidRPr="00B96EAD">
        <w:rPr>
          <w:lang w:bidi="bn-BD"/>
        </w:rPr>
        <w:t>Betadine</w:t>
      </w:r>
      <w:proofErr w:type="spellEnd"/>
      <w:r w:rsidRPr="00B96EAD">
        <w:rPr>
          <w:lang w:bidi="bn-BD"/>
        </w:rPr>
        <w:t>®)) 0.5% given twice daily (&gt;=20mls per discharging ear)</w:t>
      </w:r>
      <w:r w:rsidRPr="00B96EAD">
        <w:rPr>
          <w:iCs/>
          <w:lang w:bidi="bn-BD"/>
        </w:rPr>
        <w:t>) plus usual topical treatment (</w:t>
      </w:r>
      <w:r w:rsidRPr="00B96EAD">
        <w:rPr>
          <w:lang w:bidi="bn-BD"/>
        </w:rPr>
        <w:t xml:space="preserve">dry mopping with tissue spears and ciprofloxacin drops 5 drops twice a day) followed by </w:t>
      </w:r>
      <w:proofErr w:type="spellStart"/>
      <w:r w:rsidRPr="00B96EAD">
        <w:rPr>
          <w:lang w:bidi="bn-BD"/>
        </w:rPr>
        <w:t>tragal</w:t>
      </w:r>
      <w:proofErr w:type="spellEnd"/>
      <w:r w:rsidRPr="00B96EAD">
        <w:rPr>
          <w:lang w:bidi="bn-BD"/>
        </w:rPr>
        <w:t xml:space="preserve"> pumping</w:t>
      </w:r>
      <w:r w:rsidRPr="00B96EAD">
        <w:rPr>
          <w:iCs/>
          <w:lang w:bidi="bn-BD"/>
        </w:rPr>
        <w:t xml:space="preserve">; or ii) usual topical treatment alone.  Families will be shown how to do the ear washes and given treatment packs (aimed at minimising technical difficulties) with 1L of prepared </w:t>
      </w:r>
      <w:proofErr w:type="spellStart"/>
      <w:r w:rsidRPr="00B96EAD">
        <w:rPr>
          <w:iCs/>
          <w:lang w:bidi="bn-BD"/>
        </w:rPr>
        <w:t>povidine</w:t>
      </w:r>
      <w:proofErr w:type="spellEnd"/>
      <w:r w:rsidRPr="00B96EAD">
        <w:rPr>
          <w:iCs/>
          <w:lang w:bidi="bn-BD"/>
        </w:rPr>
        <w:t>-iodine solution, 10ml syringes, a soft, specifically designed nozzle, plastic cups, and a kidney dish.  Each discharging ear should be washed with 10mls of solution at a time.  This is repeated until no more pus is removed (</w:t>
      </w:r>
      <w:proofErr w:type="spellStart"/>
      <w:r w:rsidRPr="00B96EAD">
        <w:rPr>
          <w:iCs/>
          <w:lang w:bidi="bn-BD"/>
        </w:rPr>
        <w:t>ie</w:t>
      </w:r>
      <w:proofErr w:type="spellEnd"/>
      <w:r w:rsidRPr="00B96EAD">
        <w:rPr>
          <w:iCs/>
          <w:lang w:bidi="bn-BD"/>
        </w:rPr>
        <w:t xml:space="preserve">. at least 20mls used).  Families will be informed that they can get replacement packs from the ear health worker of the local clinic.  All packs also contain tissues and ciprofloxacin ear drops.  </w:t>
      </w:r>
      <w:r w:rsidRPr="00B96EAD">
        <w:rPr>
          <w:lang w:bidi="bn-BD"/>
        </w:rPr>
        <w:t xml:space="preserve">Both treatment </w:t>
      </w:r>
      <w:proofErr w:type="spellStart"/>
      <w:r w:rsidRPr="00B96EAD">
        <w:rPr>
          <w:lang w:bidi="bn-BD"/>
        </w:rPr>
        <w:t>regimes</w:t>
      </w:r>
      <w:proofErr w:type="spellEnd"/>
      <w:r w:rsidRPr="00B96EAD">
        <w:rPr>
          <w:lang w:bidi="bn-BD"/>
        </w:rPr>
        <w:t xml:space="preserve"> should continue until the ear has been dry for 3 days (confirmed on two clinical examinations at least 3 days apart).  Children who respond to treatment and then develop a recurrence of ear discharge will receive their original allocated topical treatment regime.  The ear wash protocol is based on Western Australian studies and their standard treatment guidelines.</w:t>
      </w:r>
      <w:r w:rsidR="009B5648" w:rsidRPr="00B96EAD">
        <w:rPr>
          <w:lang w:bidi="bn-BD"/>
        </w:rPr>
        <w:fldChar w:fldCharType="begin"/>
      </w:r>
      <w:r w:rsidRPr="00B96EAD">
        <w:rPr>
          <w:lang w:bidi="bn-BD"/>
        </w:rPr>
        <w:instrText xml:space="preserve"> ADDIN REFMGR.CITE &lt;Refman&gt;&lt;Cite&gt;&lt;Author&gt;Coates&lt;/Author&gt;&lt;Year&gt;2008&lt;/Year&gt;&lt;RecNum&gt;3760&lt;/RecNum&gt;&lt;IDText&gt;Aboriginal Ear Health Manual&lt;/IDText&gt;&lt;MDL Ref_Type="Book, Whole"&gt;&lt;Ref_Type&gt;Book, Whole&lt;/Ref_Type&gt;&lt;Ref_ID&gt;3760&lt;/Ref_ID&gt;&lt;Title_Primary&gt;Aboriginal Ear Health Manual&lt;/Title_Primary&gt;&lt;Authors_Primary&gt;Coates,H&lt;/Authors_Primary&gt;&lt;Authors_Primary&gt;Vijayasekaran,S&lt;/Authors_Primary&gt;&lt;Authors_Primary&gt;Mackendrick,A&lt;/Authors_Primary&gt;&lt;Authors_Primary&gt;Leidwinger,L&lt;/Authors_Primary&gt;&lt;Date_Primary&gt;2008&lt;/Date_Primary&gt;&lt;Keywords&gt;Aboriginal&lt;/Keywords&gt;&lt;Keywords&gt;Ear&lt;/Keywords&gt;&lt;Keywords&gt;Health&lt;/Keywords&gt;&lt;Reprint&gt;Not in File&lt;/Reprint&gt;&lt;Web_URL&gt;&lt;u&gt;http://www.healthinfonet.ecu.edu.au/uploads/resources/14716_aboriginal_ear_man.pdf &lt;/u&gt;&lt;/Web_URL&gt;&lt;ZZ_WorkformID&gt;2&lt;/ZZ_WorkformID&gt;&lt;/MDL&gt;&lt;/Cite&gt;&lt;/Refman&gt;</w:instrText>
      </w:r>
      <w:r w:rsidR="009B5648" w:rsidRPr="00B96EAD">
        <w:rPr>
          <w:lang w:bidi="bn-BD"/>
        </w:rPr>
        <w:fldChar w:fldCharType="separate"/>
      </w:r>
      <w:r w:rsidRPr="00B96EAD">
        <w:rPr>
          <w:vertAlign w:val="superscript"/>
          <w:lang w:bidi="bn-BD"/>
        </w:rPr>
        <w:t>34</w:t>
      </w:r>
      <w:r w:rsidR="009B5648" w:rsidRPr="00B96EAD">
        <w:rPr>
          <w:lang w:bidi="bn-BD"/>
        </w:rPr>
        <w:fldChar w:fldCharType="end"/>
      </w:r>
      <w:r w:rsidRPr="00B96EAD">
        <w:rPr>
          <w:lang w:bidi="bn-BD"/>
        </w:rPr>
        <w:t xml:space="preserve"> Clear instructions are included in the WA Ear Health Manual available </w:t>
      </w:r>
      <w:proofErr w:type="spellStart"/>
      <w:r w:rsidRPr="00B96EAD">
        <w:rPr>
          <w:lang w:bidi="bn-BD"/>
        </w:rPr>
        <w:t>though</w:t>
      </w:r>
      <w:proofErr w:type="spellEnd"/>
      <w:r w:rsidRPr="00B96EAD">
        <w:rPr>
          <w:lang w:bidi="bn-BD"/>
        </w:rPr>
        <w:t xml:space="preserve"> the Ear </w:t>
      </w:r>
      <w:proofErr w:type="spellStart"/>
      <w:r w:rsidRPr="00B96EAD">
        <w:rPr>
          <w:lang w:bidi="bn-BD"/>
        </w:rPr>
        <w:t>InfoNet</w:t>
      </w:r>
      <w:proofErr w:type="spellEnd"/>
      <w:r w:rsidRPr="00B96EAD">
        <w:rPr>
          <w:lang w:bidi="bn-BD"/>
        </w:rPr>
        <w:t xml:space="preserve"> (3rd edition “</w:t>
      </w:r>
      <w:r w:rsidRPr="00B96EAD">
        <w:t xml:space="preserve">Aboriginal and Torres Strait Islander Ear Health Manual” </w:t>
      </w:r>
      <w:r w:rsidRPr="00B96EAD">
        <w:rPr>
          <w:lang w:bidi="bn-BD"/>
        </w:rPr>
        <w:t xml:space="preserve">in press). </w:t>
      </w:r>
    </w:p>
    <w:p w:rsidR="00BA6265" w:rsidRPr="00B96EAD" w:rsidRDefault="00BA6265" w:rsidP="001F40CA">
      <w:pPr>
        <w:pStyle w:val="Heading7"/>
        <w:rPr>
          <w:lang w:bidi="bn-BD"/>
        </w:rPr>
      </w:pPr>
      <w:r w:rsidRPr="00B96EAD">
        <w:rPr>
          <w:lang w:bidi="bn-BD"/>
        </w:rPr>
        <w:t>B) Oral medication treatment</w:t>
      </w:r>
    </w:p>
    <w:p w:rsidR="00BA6265" w:rsidRDefault="00BA6265" w:rsidP="008041C8">
      <w:pPr>
        <w:spacing w:after="120"/>
        <w:rPr>
          <w:b/>
        </w:rPr>
      </w:pPr>
      <w:proofErr w:type="gramStart"/>
      <w:r w:rsidRPr="00B96EAD">
        <w:rPr>
          <w:lang w:bidi="bn-BD"/>
        </w:rPr>
        <w:t>Either: i) twice daily oral antibiotic treatment (</w:t>
      </w:r>
      <w:proofErr w:type="spellStart"/>
      <w:r w:rsidRPr="00B96EAD">
        <w:rPr>
          <w:lang w:bidi="bn-BD"/>
        </w:rPr>
        <w:t>cotrimoxazole</w:t>
      </w:r>
      <w:proofErr w:type="spellEnd"/>
      <w:r w:rsidRPr="00B96EAD">
        <w:rPr>
          <w:lang w:bidi="bn-BD"/>
        </w:rPr>
        <w:t xml:space="preserve"> 4mg/kg per dose of trimethoprim component); or ii) a placebo medication that is identical in appearance, smell and taste.</w:t>
      </w:r>
      <w:proofErr w:type="gramEnd"/>
      <w:r w:rsidRPr="00B96EAD">
        <w:rPr>
          <w:lang w:bidi="bn-BD"/>
        </w:rPr>
        <w:t xml:space="preserve">  IDT Australia (formerly Institute of Drug Technology) will prepare the placebo suspension and repackage the </w:t>
      </w:r>
      <w:proofErr w:type="spellStart"/>
      <w:r w:rsidRPr="00B96EAD">
        <w:rPr>
          <w:lang w:bidi="bn-BD"/>
        </w:rPr>
        <w:t>cotrimoxazole</w:t>
      </w:r>
      <w:proofErr w:type="spellEnd"/>
      <w:r w:rsidRPr="00B96EAD">
        <w:rPr>
          <w:lang w:bidi="bn-BD"/>
        </w:rPr>
        <w:t xml:space="preserve"> (a 100ml bottle containing trimethoprim 40mg/5 </w:t>
      </w:r>
      <w:proofErr w:type="spellStart"/>
      <w:r w:rsidRPr="00B96EAD">
        <w:rPr>
          <w:lang w:bidi="bn-BD"/>
        </w:rPr>
        <w:t>mls</w:t>
      </w:r>
      <w:proofErr w:type="spellEnd"/>
      <w:r w:rsidRPr="00B96EAD">
        <w:rPr>
          <w:lang w:bidi="bn-BD"/>
        </w:rPr>
        <w:t xml:space="preserve"> and </w:t>
      </w:r>
      <w:proofErr w:type="spellStart"/>
      <w:r w:rsidRPr="00B96EAD">
        <w:rPr>
          <w:lang w:bidi="bn-BD"/>
        </w:rPr>
        <w:t>sulphamethoxazole</w:t>
      </w:r>
      <w:proofErr w:type="spellEnd"/>
      <w:r w:rsidRPr="00B96EAD">
        <w:rPr>
          <w:lang w:bidi="bn-BD"/>
        </w:rPr>
        <w:t xml:space="preserve"> 200mg/5mls). IDT have prepared the medications for our previous placebo-controlled trials.</w:t>
      </w:r>
      <w:r w:rsidR="008041C8">
        <w:rPr>
          <w:b/>
        </w:rPr>
        <w:t xml:space="preserve"> </w:t>
      </w:r>
    </w:p>
    <w:p w:rsidR="00BA6265" w:rsidRPr="00B96EAD" w:rsidRDefault="00BA6265" w:rsidP="00C6188C">
      <w:pPr>
        <w:pStyle w:val="Heading6"/>
      </w:pPr>
      <w:r w:rsidRPr="00B96EAD">
        <w:t>Outcome assessment</w:t>
      </w:r>
    </w:p>
    <w:p w:rsidR="00BA6265" w:rsidRPr="00B96EAD" w:rsidRDefault="00BA6265" w:rsidP="00660039">
      <w:pPr>
        <w:spacing w:after="120"/>
      </w:pPr>
      <w:r w:rsidRPr="00B96EAD">
        <w:t>The primary outcome of the study will be clinical failure after 16 weeks of treatment.  This will be determined by the presence of ear discharge at the end of study clinical examination.  This clinical assessment will be done by an experienced assessor who is unaware of allocation status (or treatment received) by each of the children.  The blinded assessor will determine the presence or absence of ear discharge on review of the video-</w:t>
      </w:r>
      <w:proofErr w:type="spellStart"/>
      <w:r w:rsidRPr="00B96EAD">
        <w:t>otoscopy</w:t>
      </w:r>
      <w:proofErr w:type="spellEnd"/>
      <w:r w:rsidRPr="00B96EAD">
        <w:t xml:space="preserve"> images of the middle ear and ear swab combined with results of ear discharge microscopy and culture.</w:t>
      </w:r>
      <w:r w:rsidR="008041C8">
        <w:t xml:space="preserve"> </w:t>
      </w:r>
      <w:r w:rsidRPr="00B96EAD">
        <w:t xml:space="preserve"> A second blinded assessor will also review the video image and tympanometry results without knowledge of the original clinical diagnosis or the allocation status.  Any disagreement will be resolved by consensus.</w:t>
      </w:r>
    </w:p>
    <w:p w:rsidR="00BA6265" w:rsidRDefault="00BA6265" w:rsidP="00C6188C">
      <w:pPr>
        <w:spacing w:after="240"/>
        <w:rPr>
          <w:b/>
          <w:lang w:bidi="bn-BD"/>
        </w:rPr>
      </w:pPr>
      <w:r w:rsidRPr="00B96EAD">
        <w:t xml:space="preserve">Secondary outcome measures will include i) hearing level (determined by audiometry and summarised as the pure tone 4 frequency average hearing level at 500, 1000, 2000 and 4000 Hz in the better hearing and worse hearing ears); ii) failure to improve (determined by perforation size and amount of discharge); iii) change in perforation size and amount of discharge (determined by </w:t>
      </w:r>
      <w:r w:rsidRPr="00B96EAD">
        <w:lastRenderedPageBreak/>
        <w:t>comparison of standardised assessment at baseline with end of study); iv) time to cessation of discharge (determined by review of health records); v) adherence to recommended management including attendance for specialist review (determined by review of health records); vi) presence of recognised bacterial pathogens in nose and ear discharge (determined by standard microbiological culture and sensitivity methods); vii) complications (defined as development of a related illness requiring additional medical treatment); and vii) side effects (defined as development of illness requiring cessation of prescribed antibiotics).  We will review clinic record and ask parents about recurrences of ear discharge in the intervals between visits.  We will also describe any contact with family and/or staff, the feasibility of monitoring progress via PCIS, all relevant investigations and treatment, and the distribution and use of the antiseptic ear wash packs and study medication.</w:t>
      </w:r>
    </w:p>
    <w:p w:rsidR="00BA6265" w:rsidRPr="00C6188C" w:rsidRDefault="00BA6265" w:rsidP="001D7A9E">
      <w:pPr>
        <w:pStyle w:val="Heading7"/>
        <w:rPr>
          <w:lang w:bidi="bn-BD"/>
        </w:rPr>
      </w:pPr>
      <w:r w:rsidRPr="00C6188C">
        <w:rPr>
          <w:lang w:bidi="bn-BD"/>
        </w:rPr>
        <w:t>Statistical analysis plan</w:t>
      </w:r>
    </w:p>
    <w:p w:rsidR="00BA6265" w:rsidRPr="00B96EAD" w:rsidRDefault="00BA6265" w:rsidP="00660039">
      <w:pPr>
        <w:spacing w:after="120"/>
      </w:pPr>
      <w:r w:rsidRPr="00B96EAD">
        <w:t xml:space="preserve">A full detailed statistical analysis plan will be developed and approved by the CIs before any outcome data are analysed. </w:t>
      </w:r>
    </w:p>
    <w:p w:rsidR="00BA6265" w:rsidRPr="00C6188C" w:rsidRDefault="00BA6265" w:rsidP="00C6188C">
      <w:pPr>
        <w:pStyle w:val="Heading6"/>
        <w:spacing w:after="120"/>
      </w:pPr>
      <w:r w:rsidRPr="00C6188C">
        <w:t xml:space="preserve">Primary outcome: </w:t>
      </w:r>
    </w:p>
    <w:p w:rsidR="00BA6265" w:rsidRPr="00B96EAD" w:rsidRDefault="00BA6265" w:rsidP="00660039">
      <w:r w:rsidRPr="00B96EAD">
        <w:t xml:space="preserve">As the efficacy of the topical treatment intervention is expected to </w:t>
      </w:r>
      <w:r w:rsidRPr="00B96EAD">
        <w:rPr>
          <w:i/>
        </w:rPr>
        <w:t>in no way</w:t>
      </w:r>
      <w:r w:rsidRPr="00B96EAD">
        <w:t xml:space="preserve"> depend on which of the two oral medication treatments was given, the primary analysis will report the absolute risk difference and 95% confidence interval for: </w:t>
      </w:r>
    </w:p>
    <w:p w:rsidR="00BA6265" w:rsidRPr="00B96EAD" w:rsidRDefault="00BA6265" w:rsidP="00335126">
      <w:pPr>
        <w:numPr>
          <w:ilvl w:val="0"/>
          <w:numId w:val="2"/>
        </w:numPr>
        <w:ind w:firstLine="0"/>
      </w:pPr>
      <w:r w:rsidRPr="00B96EAD">
        <w:t xml:space="preserve">the difference in failure rates between children allocated to receive the ear wash </w:t>
      </w:r>
      <w:r w:rsidRPr="00B96EAD">
        <w:rPr>
          <w:iCs/>
          <w:lang w:bidi="bn-BD"/>
        </w:rPr>
        <w:t>plus usual topical treatment</w:t>
      </w:r>
      <w:r w:rsidRPr="00B96EAD">
        <w:t xml:space="preserve">, and children allocated to receive </w:t>
      </w:r>
      <w:r w:rsidRPr="00B96EAD">
        <w:rPr>
          <w:iCs/>
          <w:lang w:bidi="bn-BD"/>
        </w:rPr>
        <w:t>usual topical treatment alone;</w:t>
      </w:r>
    </w:p>
    <w:p w:rsidR="00BA6265" w:rsidRPr="00B96EAD" w:rsidRDefault="00BA6265" w:rsidP="00335126">
      <w:pPr>
        <w:numPr>
          <w:ilvl w:val="0"/>
          <w:numId w:val="2"/>
        </w:numPr>
        <w:ind w:firstLine="0"/>
      </w:pPr>
      <w:r w:rsidRPr="00B96EAD">
        <w:t xml:space="preserve">the difference in failure rates between children allocated to receive </w:t>
      </w:r>
      <w:r w:rsidRPr="00B96EAD">
        <w:rPr>
          <w:lang w:bidi="bn-BD"/>
        </w:rPr>
        <w:t xml:space="preserve">twice daily oral antibiotic treatment and </w:t>
      </w:r>
      <w:r w:rsidRPr="00B96EAD">
        <w:t>children allocated to receive placebo.</w:t>
      </w:r>
    </w:p>
    <w:p w:rsidR="00BA6265" w:rsidRPr="00B96EAD" w:rsidRDefault="00BA6265" w:rsidP="00660039">
      <w:pPr>
        <w:spacing w:after="120"/>
      </w:pPr>
      <w:r w:rsidRPr="00B96EAD">
        <w:t xml:space="preserve">The number of children in each of the 4 treatment regimens with missing primary outcome data will be reported.  However, this number is expected to be small. Such children will not contribute to the above-mentioned primary analysis. </w:t>
      </w:r>
    </w:p>
    <w:p w:rsidR="00C6188C" w:rsidRDefault="00BA6265" w:rsidP="00C6188C">
      <w:pPr>
        <w:spacing w:after="120"/>
      </w:pPr>
      <w:r w:rsidRPr="00C6188C">
        <w:rPr>
          <w:rStyle w:val="Heading6Char"/>
        </w:rPr>
        <w:t>Secondary outcomes:</w:t>
      </w:r>
      <w:r w:rsidRPr="00B96EAD">
        <w:t xml:space="preserve"> </w:t>
      </w:r>
    </w:p>
    <w:p w:rsidR="00C6188C" w:rsidRDefault="00BA6265" w:rsidP="008041C8">
      <w:pPr>
        <w:spacing w:after="120"/>
        <w:rPr>
          <w:b/>
          <w:lang w:bidi="bn-BD"/>
        </w:rPr>
      </w:pPr>
      <w:r w:rsidRPr="00B96EAD">
        <w:t xml:space="preserve">Rates of clinical failure after 12 months will be analysed in the same manner as above.  The primary outcome analysis will be repeated using a “treatment received” approach. Any differences in effect compared with the primary analysis will be described. Differences in the proportions of children who experienced the following outcomes will also be measured using the final outcome data: failure to improve (determined by perforation size and amount of discharge); complications (defined as development of a related illness requiring additional medical treatment); and side effects (defined as development of illness requiring cessation of prescribed antibiotics). Differences in hearing level (a continuous outcome) will be assessed using analysis of covariance (ANCOVA).  A comparison of the time to recorded cessation of ear discharge in the two treatment groups will be made using survival analysis. The impact on other illnesses and rates of antibiotic resistance will be described.  Differences in the secondary efficacy outcomes not supported by a difference in the primary outcome will be regarded as “hypothesis generating”.  We will also describe the prevalence </w:t>
      </w:r>
      <w:r w:rsidRPr="00B96EAD">
        <w:rPr>
          <w:lang w:bidi="bn-BD"/>
        </w:rPr>
        <w:t>of CSOM and dry perforation and the associated bacterial pathogens (see secondary aims).  This will be the first systematic prevalence study since 2001-3 and the first large CSOM microbiology study in this population.</w:t>
      </w:r>
      <w:r w:rsidR="008041C8">
        <w:rPr>
          <w:b/>
          <w:lang w:bidi="bn-BD"/>
        </w:rPr>
        <w:t xml:space="preserve"> </w:t>
      </w:r>
    </w:p>
    <w:p w:rsidR="00C6188C" w:rsidRDefault="00C6188C">
      <w:pPr>
        <w:jc w:val="left"/>
        <w:rPr>
          <w:b/>
          <w:lang w:bidi="bn-BD"/>
        </w:rPr>
      </w:pPr>
      <w:r>
        <w:rPr>
          <w:b/>
          <w:lang w:bidi="bn-BD"/>
        </w:rPr>
        <w:br w:type="page"/>
      </w:r>
    </w:p>
    <w:p w:rsidR="00BA6265" w:rsidRPr="00B96EAD" w:rsidRDefault="00BA6265" w:rsidP="00C6188C">
      <w:pPr>
        <w:pStyle w:val="Heading7"/>
        <w:rPr>
          <w:lang w:bidi="bn-BD"/>
        </w:rPr>
      </w:pPr>
      <w:r w:rsidRPr="00B96EAD">
        <w:rPr>
          <w:lang w:bidi="bn-BD"/>
        </w:rPr>
        <w:lastRenderedPageBreak/>
        <w:t>Sample size</w:t>
      </w:r>
    </w:p>
    <w:p w:rsidR="00BA6265" w:rsidRPr="008041C8" w:rsidRDefault="00BA6265" w:rsidP="008041C8">
      <w:pPr>
        <w:autoSpaceDE w:val="0"/>
        <w:autoSpaceDN w:val="0"/>
        <w:adjustRightInd w:val="0"/>
        <w:spacing w:after="120"/>
      </w:pPr>
      <w:r w:rsidRPr="00B96EAD">
        <w:t>We estimate that at least 70% of children receiving current standard therapy for CSOM will (unfortunately) not be cured after 16 weeks of treatment. This is consistent with the medium term outcomes (after 8 weeks of supervised treatment) in the ciprofloxacin group of our previous trial.</w:t>
      </w:r>
      <w:r w:rsidRPr="00B96EAD">
        <w:rPr>
          <w:vertAlign w:val="superscript"/>
        </w:rPr>
        <w:t>22</w:t>
      </w:r>
      <w:r w:rsidRPr="00B96EAD">
        <w:t xml:space="preserve">  With a total of </w:t>
      </w:r>
      <w:r w:rsidRPr="00B11718">
        <w:t>280 c</w:t>
      </w:r>
      <w:r w:rsidRPr="00B96EAD">
        <w:t>hildren randomised, this study will have ~88% power to detect an improved outcome in an additional 20% of children for each intervention (at the 5% significance level), assuming 10% loss to follow up. Treatment effects of less than 20% would require further consideration of the potential benefits and harms (due to concerns about the resource implications). Since recent surveys have identified that over 20% of NT Aboriginal children have TM perforations (and most have CSOM), we should identify sufficient children for the study. Our aim is to enrol at least 20 children from between 10-20 communities (to a maxim</w:t>
      </w:r>
      <w:r w:rsidR="008041C8">
        <w:t xml:space="preserve">um of 300 children). </w:t>
      </w:r>
    </w:p>
    <w:p w:rsidR="00BA6265" w:rsidRPr="00B96EAD" w:rsidRDefault="00BA6265" w:rsidP="00C6188C">
      <w:pPr>
        <w:pStyle w:val="Heading7"/>
        <w:rPr>
          <w:lang w:bidi="bn-BD"/>
        </w:rPr>
      </w:pPr>
      <w:r w:rsidRPr="00B96EAD">
        <w:rPr>
          <w:lang w:bidi="bn-BD"/>
        </w:rPr>
        <w:t>Data and Safety Monitoring</w:t>
      </w:r>
    </w:p>
    <w:p w:rsidR="00BA6265" w:rsidRDefault="00BA6265" w:rsidP="008041C8">
      <w:pPr>
        <w:autoSpaceDE w:val="0"/>
        <w:autoSpaceDN w:val="0"/>
        <w:adjustRightInd w:val="0"/>
        <w:spacing w:after="120"/>
        <w:rPr>
          <w:b/>
          <w:lang w:bidi="bn-BD"/>
        </w:rPr>
      </w:pPr>
      <w:r w:rsidRPr="00B96EAD">
        <w:rPr>
          <w:lang w:bidi="bn-BD"/>
        </w:rPr>
        <w:t>An independent Data Safety Monitoring Committee (DSMC) will be formed before the start of the study.  The DSMC will include an independent clinician familiar with Aboriginal child health problems, an independent statistician, and a representative of the Child Health Indigenous Reference Group.  The DSMC will meet before the study starts and at its conclusion.  Progress reports documenting all serious adverse events will be provided to the DSMC every 4 months.  Any life threatening or disabling event will be reported immediately to the study safety monitor and DSMC.  Although we have not planned an interim analysis, the DSMC will be able to request a confidential review of the available data if there is evidence that participation in the trial may be harmful.</w:t>
      </w:r>
      <w:r w:rsidR="008041C8">
        <w:rPr>
          <w:b/>
          <w:lang w:bidi="bn-BD"/>
        </w:rPr>
        <w:t xml:space="preserve"> </w:t>
      </w:r>
    </w:p>
    <w:p w:rsidR="00BA6265" w:rsidRPr="00B96EAD" w:rsidRDefault="00BA6265" w:rsidP="00C6188C">
      <w:pPr>
        <w:pStyle w:val="Heading7"/>
        <w:rPr>
          <w:lang w:bidi="bn-BD"/>
        </w:rPr>
      </w:pPr>
      <w:r w:rsidRPr="00B96EAD">
        <w:rPr>
          <w:lang w:bidi="bn-BD"/>
        </w:rPr>
        <w:t>Follow up</w:t>
      </w:r>
    </w:p>
    <w:p w:rsidR="00C6188C" w:rsidRDefault="00BA6265" w:rsidP="00C6188C">
      <w:pPr>
        <w:autoSpaceDE w:val="0"/>
        <w:autoSpaceDN w:val="0"/>
        <w:adjustRightInd w:val="0"/>
        <w:spacing w:after="120"/>
        <w:rPr>
          <w:rFonts w:eastAsia="Batang"/>
          <w:lang w:eastAsia="ko-KR"/>
        </w:rPr>
      </w:pPr>
      <w:r w:rsidRPr="00B96EAD">
        <w:rPr>
          <w:lang w:bidi="bn-BD"/>
        </w:rPr>
        <w:t>Our previous otitis media studies have achieved a follow-up rate of 90%.  Participants with CSOM at the end of study assessment will be advised to continue treatment with dry mopping and ciprofloxacin drops for one further week followed by review at the local clinic.  Where there is evidence that the discharge has been present for a prolonged period, the child will be prioritised for ENT, audiology and paediatric review (if this has not occurred recently).  All children who have other ear diagnoses will be referred to the community clinic for appropriate management. The research team will support better adherence with treatment recommendations in the OATSIH Guidelines and Central Australian Rural Practitioners Association (CARPA) Manual.  Contact with families, Community Workers - Hearing, and clinic staff will occur as required.  The needs of individual children will be identified through mobile phone interviews and electronic health record monitoring.  In addition to access to the Patient Care Information System (PCIS), from 2014 t</w:t>
      </w:r>
      <w:r w:rsidRPr="00B96EAD">
        <w:rPr>
          <w:rFonts w:eastAsia="Batang"/>
          <w:lang w:eastAsia="ko-KR"/>
        </w:rPr>
        <w:t>he NT Hearing Health Information Management System (HHIMS) will automatically collate field data (including tympanometry and digital video-</w:t>
      </w:r>
      <w:proofErr w:type="spellStart"/>
      <w:r w:rsidRPr="00B96EAD">
        <w:rPr>
          <w:rFonts w:eastAsia="Batang"/>
          <w:lang w:eastAsia="ko-KR"/>
        </w:rPr>
        <w:t>otoscopy</w:t>
      </w:r>
      <w:proofErr w:type="spellEnd"/>
      <w:r w:rsidRPr="00B96EAD">
        <w:rPr>
          <w:rFonts w:eastAsia="Batang"/>
          <w:lang w:eastAsia="ko-KR"/>
        </w:rPr>
        <w:t xml:space="preserve">) and integrate ear and hearing health clinical data into a shared care plan framework. </w:t>
      </w:r>
    </w:p>
    <w:p w:rsidR="00BA6265" w:rsidRPr="00B96EAD" w:rsidRDefault="00BA6265" w:rsidP="00C6188C">
      <w:pPr>
        <w:autoSpaceDE w:val="0"/>
        <w:autoSpaceDN w:val="0"/>
        <w:adjustRightInd w:val="0"/>
        <w:spacing w:after="120"/>
        <w:rPr>
          <w:b/>
          <w:lang w:bidi="bn-BD"/>
        </w:rPr>
      </w:pPr>
      <w:r w:rsidRPr="00B96EAD">
        <w:rPr>
          <w:b/>
          <w:lang w:bidi="bn-BD"/>
        </w:rPr>
        <w:t>Research Plan for 2014-2017</w:t>
      </w:r>
    </w:p>
    <w:p w:rsidR="00BA6265" w:rsidRPr="00B96EAD" w:rsidRDefault="00BA6265" w:rsidP="00B11718">
      <w:pPr>
        <w:pBdr>
          <w:top w:val="single" w:sz="4" w:space="1" w:color="auto"/>
          <w:left w:val="single" w:sz="4" w:space="4" w:color="auto"/>
          <w:bottom w:val="single" w:sz="4" w:space="1" w:color="auto"/>
          <w:right w:val="single" w:sz="4" w:space="4" w:color="auto"/>
        </w:pBdr>
        <w:autoSpaceDE w:val="0"/>
        <w:autoSpaceDN w:val="0"/>
        <w:adjustRightInd w:val="0"/>
        <w:ind w:left="1843" w:hanging="1843"/>
        <w:rPr>
          <w:lang w:bidi="bn-BD"/>
        </w:rPr>
      </w:pPr>
      <w:r w:rsidRPr="00B96EAD">
        <w:rPr>
          <w:lang w:bidi="bn-BD"/>
        </w:rPr>
        <w:t xml:space="preserve">Jan - June 2014 </w:t>
      </w:r>
      <w:r w:rsidRPr="00B96EAD">
        <w:rPr>
          <w:lang w:bidi="bn-BD"/>
        </w:rPr>
        <w:tab/>
        <w:t>Planning.  Finalisation of study protocol. Employ and train study coordinator. Community consultation visits. Ethical approval. Formation of Indigenous Reference Group. Formation of Independent DSMC.</w:t>
      </w:r>
    </w:p>
    <w:p w:rsidR="00BA6265" w:rsidRPr="00B96EAD" w:rsidRDefault="00BA6265" w:rsidP="00B11718">
      <w:pPr>
        <w:pBdr>
          <w:top w:val="single" w:sz="4" w:space="1" w:color="auto"/>
          <w:left w:val="single" w:sz="4" w:space="4" w:color="auto"/>
          <w:bottom w:val="single" w:sz="4" w:space="1" w:color="auto"/>
          <w:right w:val="single" w:sz="4" w:space="4" w:color="auto"/>
        </w:pBdr>
        <w:autoSpaceDE w:val="0"/>
        <w:autoSpaceDN w:val="0"/>
        <w:adjustRightInd w:val="0"/>
        <w:ind w:left="1843" w:hanging="1843"/>
        <w:rPr>
          <w:lang w:bidi="bn-BD"/>
        </w:rPr>
      </w:pPr>
      <w:r w:rsidRPr="00B96EAD">
        <w:rPr>
          <w:lang w:bidi="bn-BD"/>
        </w:rPr>
        <w:t xml:space="preserve">July - Dec 2014 </w:t>
      </w:r>
      <w:r w:rsidRPr="00B96EAD">
        <w:rPr>
          <w:lang w:bidi="bn-BD"/>
        </w:rPr>
        <w:tab/>
        <w:t xml:space="preserve">Employment and training of staff. Preparation of intervention materials.  Scheduling of community visits with </w:t>
      </w:r>
      <w:r>
        <w:rPr>
          <w:lang w:bidi="bn-BD"/>
        </w:rPr>
        <w:t xml:space="preserve">Northern Territory </w:t>
      </w:r>
      <w:r w:rsidRPr="00B96EAD">
        <w:rPr>
          <w:lang w:bidi="bn-BD"/>
        </w:rPr>
        <w:t>Dep</w:t>
      </w:r>
      <w:r>
        <w:rPr>
          <w:lang w:bidi="bn-BD"/>
        </w:rPr>
        <w:t>artmen</w:t>
      </w:r>
      <w:r w:rsidRPr="00B96EAD">
        <w:rPr>
          <w:lang w:bidi="bn-BD"/>
        </w:rPr>
        <w:t>t of Health.</w:t>
      </w:r>
    </w:p>
    <w:p w:rsidR="00BA6265" w:rsidRPr="00B96EAD" w:rsidRDefault="00BA6265" w:rsidP="00B11718">
      <w:pPr>
        <w:pBdr>
          <w:top w:val="single" w:sz="4" w:space="1" w:color="auto"/>
          <w:left w:val="single" w:sz="4" w:space="4" w:color="auto"/>
          <w:bottom w:val="single" w:sz="4" w:space="1" w:color="auto"/>
          <w:right w:val="single" w:sz="4" w:space="4" w:color="auto"/>
        </w:pBdr>
        <w:autoSpaceDE w:val="0"/>
        <w:autoSpaceDN w:val="0"/>
        <w:adjustRightInd w:val="0"/>
        <w:ind w:left="1843" w:hanging="1843"/>
        <w:rPr>
          <w:lang w:bidi="bn-BD"/>
        </w:rPr>
      </w:pPr>
      <w:r w:rsidRPr="00B96EAD">
        <w:rPr>
          <w:lang w:bidi="bn-BD"/>
        </w:rPr>
        <w:t xml:space="preserve">Jan - June 2015 </w:t>
      </w:r>
      <w:r w:rsidRPr="00B96EAD">
        <w:rPr>
          <w:lang w:bidi="bn-BD"/>
        </w:rPr>
        <w:tab/>
        <w:t xml:space="preserve">Intervention period begins. Review of electronic health records (PCIS and HHIMS) and community screening of all eligible Aboriginal children aged 6 months to 17 years (~50 per day). Randomisation target to proceed at a rate of 20-40 children per screening visit in larger communities. Allowing for inclusion of smaller communities and communities with lower rates of CSOM, we plan 16 weeks of field work. </w:t>
      </w:r>
    </w:p>
    <w:p w:rsidR="00BA6265" w:rsidRPr="00B96EAD" w:rsidRDefault="00BA6265" w:rsidP="00B11718">
      <w:pPr>
        <w:pBdr>
          <w:top w:val="single" w:sz="4" w:space="1" w:color="auto"/>
          <w:left w:val="single" w:sz="4" w:space="4" w:color="auto"/>
          <w:bottom w:val="single" w:sz="4" w:space="1" w:color="auto"/>
          <w:right w:val="single" w:sz="4" w:space="4" w:color="auto"/>
        </w:pBdr>
        <w:autoSpaceDE w:val="0"/>
        <w:autoSpaceDN w:val="0"/>
        <w:adjustRightInd w:val="0"/>
        <w:ind w:left="1843" w:hanging="1843"/>
        <w:rPr>
          <w:lang w:bidi="bn-BD"/>
        </w:rPr>
      </w:pPr>
      <w:r w:rsidRPr="00B96EAD">
        <w:rPr>
          <w:lang w:bidi="bn-BD"/>
        </w:rPr>
        <w:t>July - Dec 2015</w:t>
      </w:r>
      <w:r w:rsidRPr="00B96EAD">
        <w:rPr>
          <w:lang w:bidi="bn-BD"/>
        </w:rPr>
        <w:tab/>
        <w:t>Intervention period continues. Target 180 children randomised by Dec.</w:t>
      </w:r>
    </w:p>
    <w:p w:rsidR="00BA6265" w:rsidRPr="00B96EAD" w:rsidRDefault="00BA6265" w:rsidP="00B11718">
      <w:pPr>
        <w:pBdr>
          <w:top w:val="single" w:sz="4" w:space="1" w:color="auto"/>
          <w:left w:val="single" w:sz="4" w:space="4" w:color="auto"/>
          <w:bottom w:val="single" w:sz="4" w:space="1" w:color="auto"/>
          <w:right w:val="single" w:sz="4" w:space="4" w:color="auto"/>
        </w:pBdr>
        <w:autoSpaceDE w:val="0"/>
        <w:autoSpaceDN w:val="0"/>
        <w:adjustRightInd w:val="0"/>
        <w:ind w:left="1843" w:hanging="1843"/>
        <w:rPr>
          <w:lang w:bidi="bn-BD"/>
        </w:rPr>
      </w:pPr>
      <w:r w:rsidRPr="00B96EAD">
        <w:rPr>
          <w:lang w:bidi="bn-BD"/>
        </w:rPr>
        <w:lastRenderedPageBreak/>
        <w:t xml:space="preserve">Jan - June 2016 </w:t>
      </w:r>
      <w:r w:rsidRPr="00B96EAD">
        <w:rPr>
          <w:lang w:bidi="bn-BD"/>
        </w:rPr>
        <w:tab/>
        <w:t xml:space="preserve">Intervention period continues. 12 month follow up assessments begin for 2015 participants. Repeat of screening assessments and randomisation of eligible children. Target 100 children (total </w:t>
      </w:r>
      <w:r w:rsidRPr="00D627DC">
        <w:rPr>
          <w:lang w:bidi="bn-BD"/>
        </w:rPr>
        <w:t>280</w:t>
      </w:r>
      <w:r w:rsidRPr="00B96EAD">
        <w:rPr>
          <w:lang w:bidi="bn-BD"/>
        </w:rPr>
        <w:t xml:space="preserve"> children) randomised by middle of year. </w:t>
      </w:r>
    </w:p>
    <w:p w:rsidR="00BA6265" w:rsidRPr="00B96EAD" w:rsidRDefault="00BA6265" w:rsidP="00B11718">
      <w:pPr>
        <w:pBdr>
          <w:top w:val="single" w:sz="4" w:space="1" w:color="auto"/>
          <w:left w:val="single" w:sz="4" w:space="4" w:color="auto"/>
          <w:bottom w:val="single" w:sz="4" w:space="1" w:color="auto"/>
          <w:right w:val="single" w:sz="4" w:space="4" w:color="auto"/>
        </w:pBdr>
        <w:autoSpaceDE w:val="0"/>
        <w:autoSpaceDN w:val="0"/>
        <w:adjustRightInd w:val="0"/>
        <w:ind w:left="1843" w:hanging="1843"/>
        <w:rPr>
          <w:lang w:bidi="bn-BD"/>
        </w:rPr>
      </w:pPr>
      <w:r w:rsidRPr="00B96EAD">
        <w:rPr>
          <w:lang w:bidi="bn-BD"/>
        </w:rPr>
        <w:t>July - Dec 2016</w:t>
      </w:r>
      <w:r w:rsidRPr="00B96EAD">
        <w:rPr>
          <w:lang w:bidi="bn-BD"/>
        </w:rPr>
        <w:tab/>
        <w:t>Continue 12 month follow-up assessments for 2015 participants.</w:t>
      </w:r>
    </w:p>
    <w:p w:rsidR="00BA6265" w:rsidRPr="00B96EAD" w:rsidRDefault="00BA6265" w:rsidP="00B11718">
      <w:pPr>
        <w:pBdr>
          <w:top w:val="single" w:sz="4" w:space="1" w:color="auto"/>
          <w:left w:val="single" w:sz="4" w:space="4" w:color="auto"/>
          <w:bottom w:val="single" w:sz="4" w:space="1" w:color="auto"/>
          <w:right w:val="single" w:sz="4" w:space="4" w:color="auto"/>
        </w:pBdr>
        <w:autoSpaceDE w:val="0"/>
        <w:autoSpaceDN w:val="0"/>
        <w:adjustRightInd w:val="0"/>
        <w:ind w:left="1843" w:hanging="1843"/>
        <w:rPr>
          <w:lang w:bidi="bn-BD"/>
        </w:rPr>
      </w:pPr>
      <w:r w:rsidRPr="00B96EAD">
        <w:rPr>
          <w:lang w:bidi="bn-BD"/>
        </w:rPr>
        <w:t>Jan - June 2017</w:t>
      </w:r>
      <w:r w:rsidRPr="00B96EAD">
        <w:rPr>
          <w:lang w:bidi="bn-BD"/>
        </w:rPr>
        <w:tab/>
        <w:t xml:space="preserve">Completion of 12 month follow up assessments.  </w:t>
      </w:r>
    </w:p>
    <w:p w:rsidR="00BA6265" w:rsidRPr="00B96EAD" w:rsidRDefault="00BA6265" w:rsidP="00B11718">
      <w:pPr>
        <w:pBdr>
          <w:top w:val="single" w:sz="4" w:space="1" w:color="auto"/>
          <w:left w:val="single" w:sz="4" w:space="4" w:color="auto"/>
          <w:bottom w:val="single" w:sz="4" w:space="1" w:color="auto"/>
          <w:right w:val="single" w:sz="4" w:space="4" w:color="auto"/>
        </w:pBdr>
        <w:autoSpaceDE w:val="0"/>
        <w:autoSpaceDN w:val="0"/>
        <w:adjustRightInd w:val="0"/>
        <w:ind w:left="1843" w:hanging="1843"/>
        <w:rPr>
          <w:lang w:bidi="bn-BD"/>
        </w:rPr>
      </w:pPr>
      <w:r w:rsidRPr="00B96EAD">
        <w:rPr>
          <w:lang w:bidi="bn-BD"/>
        </w:rPr>
        <w:t xml:space="preserve">June - Dec 2017 </w:t>
      </w:r>
      <w:r w:rsidRPr="00B96EAD">
        <w:rPr>
          <w:lang w:bidi="bn-BD"/>
        </w:rPr>
        <w:tab/>
        <w:t>Community feedback, reports, educational materials, and publications.</w:t>
      </w:r>
    </w:p>
    <w:p w:rsidR="00BA6265" w:rsidRPr="00B96EAD" w:rsidRDefault="00BA6265" w:rsidP="00C6188C">
      <w:pPr>
        <w:pStyle w:val="Heading7"/>
        <w:rPr>
          <w:lang w:bidi="bn-BD"/>
        </w:rPr>
      </w:pPr>
      <w:r w:rsidRPr="00B96EAD">
        <w:rPr>
          <w:lang w:bidi="bn-BD"/>
        </w:rPr>
        <w:t>Feedback, publication and ongoing health education</w:t>
      </w:r>
    </w:p>
    <w:p w:rsidR="00BA6265" w:rsidRPr="00B96EAD" w:rsidRDefault="00BA6265" w:rsidP="00660039">
      <w:pPr>
        <w:rPr>
          <w:b/>
          <w:u w:val="single"/>
        </w:rPr>
      </w:pPr>
      <w:r w:rsidRPr="00B96EAD">
        <w:t>This is an extremely important part of any research involving Aboriginal communities. The senior investigators will collaborate with both Aboriginal research assistants and the Child Health Indigenous Reference Group of the Menzies School of Health Research.  This approach is used to ensure that the study findings are translated into culturally appropriate health messages and effective health policy. This will be made considerably easier through the involvement of senior policy officers from the health and education departments. One Aboriginal research assistant will be employed for the full 4 years of the study.  This person will promote: i) culturally appropriate research practice; and ii) practical feedback to communities that is able to improve current standards of primary care. Training will be provided by the senior investigators and the project officers and after the study support will be given by a consultant hired to assist with the feedback process.  We aim to provide the level of skills required to coordinate (or contribute to) a similar research project in the future.</w:t>
      </w:r>
    </w:p>
    <w:p w:rsidR="00BA6265" w:rsidRPr="00B96EAD" w:rsidRDefault="00BA6265" w:rsidP="00C6188C">
      <w:pPr>
        <w:pStyle w:val="Heading5"/>
        <w:pBdr>
          <w:top w:val="none" w:sz="0" w:space="0" w:color="auto"/>
          <w:left w:val="none" w:sz="0" w:space="0" w:color="auto"/>
          <w:bottom w:val="none" w:sz="0" w:space="0" w:color="auto"/>
          <w:right w:val="none" w:sz="0" w:space="0" w:color="auto"/>
        </w:pBdr>
      </w:pPr>
      <w:r w:rsidRPr="00B96EAD">
        <w:t>OUTCOMES AND SIGNIFICANCE</w:t>
      </w:r>
    </w:p>
    <w:p w:rsidR="00BA6265" w:rsidRDefault="00BA6265" w:rsidP="00660039">
      <w:pPr>
        <w:autoSpaceDE w:val="0"/>
        <w:autoSpaceDN w:val="0"/>
        <w:adjustRightInd w:val="0"/>
        <w:rPr>
          <w:lang w:bidi="bn-BD"/>
        </w:rPr>
      </w:pPr>
      <w:r w:rsidRPr="00B96EAD">
        <w:t xml:space="preserve">The proposed study is an important development for the assessment of interventions in Aboriginal health. It combines the recent experience of intensive studies involving small numbers of children with a practical approach to more effective medical treatments for an important and common health problem. </w:t>
      </w:r>
      <w:r w:rsidRPr="00B96EAD">
        <w:rPr>
          <w:lang w:bidi="bn-BD"/>
        </w:rPr>
        <w:t xml:space="preserve">The results of the trial will become the best available evidence to guide the medical management of CSOM in high-risk children. It will be an important contribution to the medical literature and the results will have implications for all disadvantaged populations where adverse outcomes are common. This project will also provide improved training and education materials for a large number of NT health staff.  Ongoing education and support is essential in the transition toward </w:t>
      </w:r>
      <w:r>
        <w:rPr>
          <w:lang w:bidi="bn-BD"/>
        </w:rPr>
        <w:t>more</w:t>
      </w:r>
      <w:r w:rsidRPr="00B96EAD">
        <w:rPr>
          <w:lang w:bidi="bn-BD"/>
        </w:rPr>
        <w:t xml:space="preserve"> effective prevention and management of chronic otitis media in Aboriginal children.</w:t>
      </w:r>
    </w:p>
    <w:p w:rsidR="00BA6265" w:rsidRPr="00B96EAD" w:rsidRDefault="00BA6265" w:rsidP="00660039">
      <w:pPr>
        <w:autoSpaceDE w:val="0"/>
        <w:autoSpaceDN w:val="0"/>
        <w:adjustRightInd w:val="0"/>
        <w:rPr>
          <w:lang w:bidi="bn-BD"/>
        </w:rPr>
        <w:sectPr w:rsidR="00BA6265" w:rsidRPr="00B96EAD" w:rsidSect="00275922">
          <w:headerReference w:type="even" r:id="rId10"/>
          <w:headerReference w:type="default" r:id="rId11"/>
          <w:footerReference w:type="even" r:id="rId12"/>
          <w:footerReference w:type="default" r:id="rId13"/>
          <w:headerReference w:type="first" r:id="rId14"/>
          <w:footerReference w:type="first" r:id="rId15"/>
          <w:pgSz w:w="11906" w:h="16838" w:code="9"/>
          <w:pgMar w:top="1134" w:right="991" w:bottom="1134" w:left="1134" w:header="567" w:footer="567" w:gutter="0"/>
          <w:cols w:space="708"/>
          <w:titlePg/>
          <w:rtlGutter/>
          <w:docGrid w:linePitch="360"/>
        </w:sectPr>
      </w:pPr>
    </w:p>
    <w:p w:rsidR="00BA6265" w:rsidRDefault="00BA6265" w:rsidP="001D7A9E">
      <w:pPr>
        <w:pStyle w:val="Heading5"/>
      </w:pPr>
      <w:r w:rsidRPr="00F0699A">
        <w:lastRenderedPageBreak/>
        <w:t>Project 2</w:t>
      </w:r>
      <w:r>
        <w:tab/>
        <w:t>Text messaging to improve treatment and follow-up in chronic conditions: A Systematic Review of evidence applicable to disadvantaged populations (paper for publication).</w:t>
      </w:r>
    </w:p>
    <w:p w:rsidR="00BA6265" w:rsidRPr="007349C9" w:rsidRDefault="00BA6265" w:rsidP="007349C9">
      <w:pPr>
        <w:pStyle w:val="Heading6"/>
        <w:rPr>
          <w:sz w:val="28"/>
        </w:rPr>
      </w:pPr>
      <w:r w:rsidRPr="007349C9">
        <w:rPr>
          <w:sz w:val="28"/>
        </w:rPr>
        <w:t>Summary</w:t>
      </w:r>
    </w:p>
    <w:p w:rsidR="001D7A9E" w:rsidRPr="00DE2E57" w:rsidRDefault="00BA6265" w:rsidP="001D7A9E">
      <w:pPr>
        <w:pStyle w:val="Heading6"/>
      </w:pPr>
      <w:r w:rsidRPr="00DE2E57">
        <w:rPr>
          <w:rStyle w:val="Heading7Char"/>
          <w:b/>
          <w:szCs w:val="22"/>
        </w:rPr>
        <w:t>Background:</w:t>
      </w:r>
      <w:r w:rsidRPr="00DE2E57">
        <w:t xml:space="preserve"> </w:t>
      </w:r>
    </w:p>
    <w:p w:rsidR="00BA6265" w:rsidRDefault="00BA6265" w:rsidP="00660039">
      <w:r>
        <w:t>Aboriginal people living in remote Northern Territory communities experience extreme disadvantage. High levels of stress, household overcrowding, poor housing and a range of other factors related to poverty lead to young children within these communities experiencing a high burden of recurrent acute and chronic infection. The need to identify strategies that promote treatment adherence, within this context, is urgent.</w:t>
      </w:r>
    </w:p>
    <w:p w:rsidR="001D7A9E" w:rsidRPr="00DE2E57" w:rsidRDefault="00BA6265" w:rsidP="001D7A9E">
      <w:pPr>
        <w:pStyle w:val="Heading6"/>
      </w:pPr>
      <w:r w:rsidRPr="00DE2E57">
        <w:rPr>
          <w:rStyle w:val="Heading7Char"/>
          <w:b/>
          <w:szCs w:val="22"/>
        </w:rPr>
        <w:t>Aim:</w:t>
      </w:r>
      <w:r w:rsidRPr="00DE2E57">
        <w:t xml:space="preserve"> </w:t>
      </w:r>
    </w:p>
    <w:p w:rsidR="00BA6265" w:rsidRDefault="00BA6265" w:rsidP="00660039">
      <w:r>
        <w:t>This systematic literature review investigates whether regular Short Message Service or Multi-Media Messaging service, sent via mobile telephone, leads to improved treatment adherence and attendance of follow-up review among carers of children with a chronic disease.</w:t>
      </w:r>
    </w:p>
    <w:p w:rsidR="001D7A9E" w:rsidRPr="00DE2E57" w:rsidRDefault="00BA6265" w:rsidP="001D7A9E">
      <w:pPr>
        <w:pStyle w:val="Heading6"/>
        <w:rPr>
          <w:rStyle w:val="Heading7Char"/>
          <w:b/>
          <w:szCs w:val="22"/>
        </w:rPr>
      </w:pPr>
      <w:r w:rsidRPr="00DE2E57">
        <w:rPr>
          <w:rStyle w:val="Heading7Char"/>
          <w:b/>
          <w:szCs w:val="22"/>
        </w:rPr>
        <w:t xml:space="preserve">Findings: </w:t>
      </w:r>
    </w:p>
    <w:p w:rsidR="00BA6265" w:rsidRDefault="00BA6265" w:rsidP="00660039">
      <w:r>
        <w:t xml:space="preserve">Following a process developed by the National Health and Medical Research Council for Systematic Reviews, literature since 1999 was examined. Of the initial 890 titles extracted, 31 studies were considered eligible for review. Of these, 6 studies were considered in more detail. Only one eligible study included children, and none included Indigenous participants. The search identified no research concerning the use of Media Messaging Service to promote adherence of treatment. </w:t>
      </w:r>
    </w:p>
    <w:p w:rsidR="001D7A9E" w:rsidRPr="00DE2E57" w:rsidRDefault="00BA6265" w:rsidP="001D7A9E">
      <w:pPr>
        <w:pStyle w:val="Heading6"/>
      </w:pPr>
      <w:r w:rsidRPr="00DE2E57">
        <w:rPr>
          <w:rStyle w:val="Heading7Char"/>
          <w:b/>
          <w:szCs w:val="22"/>
        </w:rPr>
        <w:t>Conclusion:</w:t>
      </w:r>
      <w:r w:rsidRPr="00DE2E57">
        <w:t xml:space="preserve"> </w:t>
      </w:r>
    </w:p>
    <w:p w:rsidR="00BA6265" w:rsidRDefault="00BA6265" w:rsidP="00660039">
      <w:pPr>
        <w:rPr>
          <w:b/>
        </w:rPr>
      </w:pPr>
      <w:r>
        <w:t xml:space="preserve">From the limited evidence available, it appears that Short Message Service messaging should be seen as only one component of a multifactorial intervention to promote adherence to treatment </w:t>
      </w:r>
      <w:proofErr w:type="spellStart"/>
      <w:r>
        <w:t>regimes</w:t>
      </w:r>
      <w:proofErr w:type="spellEnd"/>
      <w:r>
        <w:t xml:space="preserve"> and follow-up.  The existing relationship with the health service provider, as well as patient characteristics require consideration. Characteristics of the actual messaging must be taken into account and should be developed in partnership with community members.</w:t>
      </w:r>
      <w:r w:rsidR="008041C8">
        <w:rPr>
          <w:b/>
        </w:rPr>
        <w:t xml:space="preserve"> </w:t>
      </w:r>
    </w:p>
    <w:p w:rsidR="00BA6265" w:rsidRPr="007349C9" w:rsidRDefault="00BA6265" w:rsidP="007349C9">
      <w:pPr>
        <w:pStyle w:val="Heading6"/>
      </w:pPr>
      <w:r>
        <w:br w:type="page"/>
      </w:r>
      <w:r w:rsidRPr="007349C9">
        <w:lastRenderedPageBreak/>
        <w:t>BACKGROUND</w:t>
      </w:r>
    </w:p>
    <w:p w:rsidR="00BA6265" w:rsidRPr="00DA4F2D" w:rsidRDefault="00BA6265" w:rsidP="00EA7371">
      <w:r w:rsidRPr="00DA4F2D">
        <w:t xml:space="preserve">Many childhood chronic conditions involve complex regimens and require regular attendance at health facilities. </w:t>
      </w:r>
      <w:r>
        <w:t>T</w:t>
      </w:r>
      <w:r w:rsidRPr="00DA4F2D">
        <w:t>he need to adhere to children’s treatment regimens and attend for regular appointments</w:t>
      </w:r>
      <w:r>
        <w:t xml:space="preserve"> can be stressful for the primary carer and / or the child</w:t>
      </w:r>
      <w:r w:rsidRPr="00DA4F2D">
        <w:t xml:space="preserve"> </w:t>
      </w:r>
      <w:r w:rsidR="009B5648">
        <w:fldChar w:fldCharType="begin"/>
      </w:r>
      <w:r>
        <w:instrText xml:space="preserve"> ADDIN REFMGR.CITE &lt;Refman&gt;&lt;Cite&gt;&lt;Author&gt;Fielding&lt;/Author&gt;&lt;Year&gt;1999&lt;/Year&gt;&lt;RecNum&gt;18&lt;/RecNum&gt;&lt;IDText&gt;Compliance with treatment protocols: interventions for children with chronic illness&lt;/IDText&gt;&lt;MDL Ref_Type="Journal"&gt;&lt;Ref_Type&gt;Journal&lt;/Ref_Type&gt;&lt;Ref_ID&gt;18&lt;/Ref_ID&gt;&lt;Title_Primary&gt;Compliance with treatment protocols: interventions for children with chronic illness&lt;/Title_Primary&gt;&lt;Authors_Primary&gt;Fielding,D.&lt;/Authors_Primary&gt;&lt;Authors_Primary&gt;Duff,A.&lt;/Authors_Primary&gt;&lt;Date_Primary&gt;1999/2&lt;/Date_Primary&gt;&lt;Keywords&gt;Behavior Therapy&lt;/Keywords&gt;&lt;Keywords&gt;Child&lt;/Keywords&gt;&lt;Keywords&gt;Chronic Disease&lt;/Keywords&gt;&lt;Keywords&gt;Humans&lt;/Keywords&gt;&lt;Keywords&gt;Patient Compliance&lt;/Keywords&gt;&lt;Keywords&gt;Patient Education as Topic&lt;/Keywords&gt;&lt;Keywords&gt;psychology&lt;/Keywords&gt;&lt;Keywords&gt;Self Administration&lt;/Keywords&gt;&lt;Reprint&gt;Not in File&lt;/Reprint&gt;&lt;Start_Page&gt;196&lt;/Start_Page&gt;&lt;End_Page&gt;200&lt;/End_Page&gt;&lt;Periodical&gt;Arch.Dis.Child&lt;/Periodical&gt;&lt;Volume&gt;80&lt;/Volume&gt;&lt;Issue&gt;2&lt;/Issue&gt;&lt;Address&gt;Department of Clinical and Health Psychology, St James&amp;apos;s University Hospital, Leeds, UK&lt;/Address&gt;&lt;Web_URL&gt;PM:10325743&lt;/Web_URL&gt;&lt;ZZ_JournalStdAbbrev&gt;&lt;f name="System"&gt;Arch.Dis.Child&lt;/f&gt;&lt;/ZZ_JournalStdAbbrev&gt;&lt;ZZ_WorkformID&gt;1&lt;/ZZ_WorkformID&gt;&lt;/MDL&gt;&lt;/Cite&gt;&lt;Cite&gt;&lt;Author&gt;Nock&lt;/Author&gt;&lt;Year&gt;2005&lt;/Year&gt;&lt;RecNum&gt;7&lt;/RecNum&gt;&lt;IDText&gt;Parent management of attendance and adherence in child and adolescent therapy: a conceptual and empirical review&lt;/IDText&gt;&lt;MDL Ref_Type="Journal"&gt;&lt;Ref_Type&gt;Journal&lt;/Ref_Type&gt;&lt;Ref_ID&gt;7&lt;/Ref_ID&gt;&lt;Title_Primary&gt;Parent management of attendance and adherence in child and adolescent therapy: a conceptual and empirical review&lt;/Title_Primary&gt;&lt;Authors_Primary&gt;Nock,M.K.&lt;/Authors_Primary&gt;&lt;Authors_Primary&gt;Ferriter,C.&lt;/Authors_Primary&gt;&lt;Date_Primary&gt;2005/6&lt;/Date_Primary&gt;&lt;Keywords&gt;Adolescent&lt;/Keywords&gt;&lt;Keywords&gt;Child&lt;/Keywords&gt;&lt;Keywords&gt;education&lt;/Keywords&gt;&lt;Keywords&gt;Humans&lt;/Keywords&gt;&lt;Keywords&gt;methods&lt;/Keywords&gt;&lt;Keywords&gt;Parents&lt;/Keywords&gt;&lt;Keywords&gt;Patient Compliance&lt;/Keywords&gt;&lt;Keywords&gt;psychology&lt;/Keywords&gt;&lt;Keywords&gt;Psychotherapy&lt;/Keywords&gt;&lt;Reprint&gt;Not in File&lt;/Reprint&gt;&lt;Start_Page&gt;149&lt;/Start_Page&gt;&lt;End_Page&gt;166&lt;/End_Page&gt;&lt;Periodical&gt;Clin.Child Fam.Psychol.Rev.&lt;/Periodical&gt;&lt;Volume&gt;8&lt;/Volume&gt;&lt;Issue&gt;2&lt;/Issue&gt;&lt;Address&gt;Department of Psychology, Harvard University, Cambridge, Massachusetts 02138, USA. nock@wjh.harvard.edu&lt;/Address&gt;&lt;Web_URL&gt;PM:15984084&lt;/Web_URL&gt;&lt;ZZ_JournalStdAbbrev&gt;&lt;f name="System"&gt;Clin.Child Fam.Psychol.Rev.&lt;/f&gt;&lt;/ZZ_JournalStdAbbrev&gt;&lt;ZZ_WorkformID&gt;1&lt;/ZZ_WorkformID&gt;&lt;/MDL&gt;&lt;/Cite&gt;&lt;Cite&gt;&lt;Author&gt;Otero&lt;/Author&gt;&lt;Year&gt;2000&lt;/Year&gt;&lt;RecNum&gt;8&lt;/RecNum&gt;&lt;IDText&gt;Maternal expressed emotion and treatment compliance of children with epilepsy&lt;/IDText&gt;&lt;MDL Ref_Type="Journal"&gt;&lt;Ref_Type&gt;Journal&lt;/Ref_Type&gt;&lt;Ref_ID&gt;8&lt;/Ref_ID&gt;&lt;Title_Primary&gt;Maternal expressed emotion and treatment compliance of children with epilepsy&lt;/Title_Primary&gt;&lt;Authors_Primary&gt;Otero,S.&lt;/Authors_Primary&gt;&lt;Authors_Primary&gt;Hodes,M.&lt;/Authors_Primary&gt;&lt;Date_Primary&gt;2000/9&lt;/Date_Primary&gt;&lt;Keywords&gt;Adolescent&lt;/Keywords&gt;&lt;Keywords&gt;Adult&lt;/Keywords&gt;&lt;Keywords&gt;Child&lt;/Keywords&gt;&lt;Keywords&gt;drug therapy&lt;/Keywords&gt;&lt;Keywords&gt;Epilepsy&lt;/Keywords&gt;&lt;Keywords&gt;Expressed Emotion&lt;/Keywords&gt;&lt;Keywords&gt;Female&lt;/Keywords&gt;&lt;Keywords&gt;Hostility&lt;/Keywords&gt;&lt;Keywords&gt;Humans&lt;/Keywords&gt;&lt;Keywords&gt;Male&lt;/Keywords&gt;&lt;Keywords&gt;Mental Health&lt;/Keywords&gt;&lt;Keywords&gt;Mother-Child Relations&lt;/Keywords&gt;&lt;Keywords&gt;Mothers&lt;/Keywords&gt;&lt;Keywords&gt;Patient Compliance&lt;/Keywords&gt;&lt;Keywords&gt;Prospective Studies&lt;/Keywords&gt;&lt;Keywords&gt;psychology&lt;/Keywords&gt;&lt;Reprint&gt;Not in File&lt;/Reprint&gt;&lt;Start_Page&gt;604&lt;/Start_Page&gt;&lt;End_Page&gt;608&lt;/End_Page&gt;&lt;Periodical&gt;Dev.Med.Child Neurol.&lt;/Periodical&gt;&lt;Volume&gt;42&lt;/Volume&gt;&lt;Issue&gt;9&lt;/Issue&gt;&lt;Address&gt;Academic Unit of Child and Adolescent Psychiatry, Imperial College School of Medicine, St Mary&amp;apos;s Campus, London, UK&lt;/Address&gt;&lt;Web_URL&gt;PM:11034453&lt;/Web_URL&gt;&lt;ZZ_JournalStdAbbrev&gt;&lt;f name="System"&gt;Dev.Med.Child Neurol.&lt;/f&gt;&lt;/ZZ_JournalStdAbbrev&gt;&lt;ZZ_WorkformID&gt;1&lt;/ZZ_WorkformID&gt;&lt;/MDL&gt;&lt;/Cite&gt;&lt;/Refman&gt;</w:instrText>
      </w:r>
      <w:r w:rsidR="009B5648">
        <w:fldChar w:fldCharType="separate"/>
      </w:r>
      <w:r>
        <w:t>[1-3]</w:t>
      </w:r>
      <w:r w:rsidR="009B5648">
        <w:fldChar w:fldCharType="end"/>
      </w:r>
      <w:r>
        <w:t xml:space="preserve">. </w:t>
      </w:r>
      <w:r w:rsidRPr="00DA4F2D">
        <w:t>The extent of the delivery of health care to children in the home is dependent on the ability, willingness, motivation and soci</w:t>
      </w:r>
      <w:r>
        <w:t>o-</w:t>
      </w:r>
      <w:r w:rsidRPr="00DA4F2D">
        <w:t xml:space="preserve">economic circumstances of primary carers </w:t>
      </w:r>
      <w:r>
        <w:t>(</w:t>
      </w:r>
      <w:r w:rsidRPr="00DA4F2D">
        <w:t>and other family members</w:t>
      </w:r>
      <w:r>
        <w:t>)</w:t>
      </w:r>
      <w:r w:rsidRPr="00DA4F2D">
        <w:t xml:space="preserve">. No matter how effective treatments are, the health of children is compromised if parents are unable, </w:t>
      </w:r>
      <w:r>
        <w:t>un</w:t>
      </w:r>
      <w:r w:rsidRPr="00DA4F2D">
        <w:t>motivated, or unwilling to adhere to treatment regimens</w:t>
      </w:r>
      <w:r>
        <w:t xml:space="preserve"> and attend review</w:t>
      </w:r>
      <w:r w:rsidRPr="00DA4F2D">
        <w:t xml:space="preserve"> appointments</w:t>
      </w:r>
      <w:r>
        <w:t xml:space="preserve"> </w:t>
      </w:r>
      <w:r w:rsidR="009B5648">
        <w:fldChar w:fldCharType="begin"/>
      </w:r>
      <w:r>
        <w:instrText xml:space="preserve"> ADDIN REFMGR.CITE &lt;Refman&gt;&lt;Cite&gt;&lt;Author&gt;Fielding&lt;/Author&gt;&lt;Year&gt;1999&lt;/Year&gt;&lt;RecNum&gt;18&lt;/RecNum&gt;&lt;IDText&gt;Compliance with treatment protocols: interventions for children with chronic illness&lt;/IDText&gt;&lt;MDL Ref_Type="Journal"&gt;&lt;Ref_Type&gt;Journal&lt;/Ref_Type&gt;&lt;Ref_ID&gt;18&lt;/Ref_ID&gt;&lt;Title_Primary&gt;Compliance with treatment protocols: interventions for children with chronic illness&lt;/Title_Primary&gt;&lt;Authors_Primary&gt;Fielding,D.&lt;/Authors_Primary&gt;&lt;Authors_Primary&gt;Duff,A.&lt;/Authors_Primary&gt;&lt;Date_Primary&gt;1999/2&lt;/Date_Primary&gt;&lt;Keywords&gt;Behavior Therapy&lt;/Keywords&gt;&lt;Keywords&gt;Child&lt;/Keywords&gt;&lt;Keywords&gt;Chronic Disease&lt;/Keywords&gt;&lt;Keywords&gt;Humans&lt;/Keywords&gt;&lt;Keywords&gt;Patient Compliance&lt;/Keywords&gt;&lt;Keywords&gt;Patient Education as Topic&lt;/Keywords&gt;&lt;Keywords&gt;psychology&lt;/Keywords&gt;&lt;Keywords&gt;Self Administration&lt;/Keywords&gt;&lt;Reprint&gt;Not in File&lt;/Reprint&gt;&lt;Start_Page&gt;196&lt;/Start_Page&gt;&lt;End_Page&gt;200&lt;/End_Page&gt;&lt;Periodical&gt;Arch.Dis.Child&lt;/Periodical&gt;&lt;Volume&gt;80&lt;/Volume&gt;&lt;Issue&gt;2&lt;/Issue&gt;&lt;Address&gt;Department of Clinical and Health Psychology, St James&amp;apos;s University Hospital, Leeds, UK&lt;/Address&gt;&lt;Web_URL&gt;PM:10325743&lt;/Web_URL&gt;&lt;ZZ_JournalStdAbbrev&gt;&lt;f name="System"&gt;Arch.Dis.Child&lt;/f&gt;&lt;/ZZ_JournalStdAbbrev&gt;&lt;ZZ_WorkformID&gt;1&lt;/ZZ_WorkformID&gt;&lt;/MDL&gt;&lt;/Cite&gt;&lt;Cite&gt;&lt;Author&gt;Nock&lt;/Author&gt;&lt;Year&gt;2005&lt;/Year&gt;&lt;RecNum&gt;7&lt;/RecNum&gt;&lt;IDText&gt;Parent management of attendance and adherence in child and adolescent therapy: a conceptual and empirical review&lt;/IDText&gt;&lt;MDL Ref_Type="Journal"&gt;&lt;Ref_Type&gt;Journal&lt;/Ref_Type&gt;&lt;Ref_ID&gt;7&lt;/Ref_ID&gt;&lt;Title_Primary&gt;Parent management of attendance and adherence in child and adolescent therapy: a conceptual and empirical review&lt;/Title_Primary&gt;&lt;Authors_Primary&gt;Nock,M.K.&lt;/Authors_Primary&gt;&lt;Authors_Primary&gt;Ferriter,C.&lt;/Authors_Primary&gt;&lt;Date_Primary&gt;2005/6&lt;/Date_Primary&gt;&lt;Keywords&gt;Adolescent&lt;/Keywords&gt;&lt;Keywords&gt;Child&lt;/Keywords&gt;&lt;Keywords&gt;education&lt;/Keywords&gt;&lt;Keywords&gt;Humans&lt;/Keywords&gt;&lt;Keywords&gt;methods&lt;/Keywords&gt;&lt;Keywords&gt;Parents&lt;/Keywords&gt;&lt;Keywords&gt;Patient Compliance&lt;/Keywords&gt;&lt;Keywords&gt;psychology&lt;/Keywords&gt;&lt;Keywords&gt;Psychotherapy&lt;/Keywords&gt;&lt;Reprint&gt;Not in File&lt;/Reprint&gt;&lt;Start_Page&gt;149&lt;/Start_Page&gt;&lt;End_Page&gt;166&lt;/End_Page&gt;&lt;Periodical&gt;Clin.Child Fam.Psychol.Rev.&lt;/Periodical&gt;&lt;Volume&gt;8&lt;/Volume&gt;&lt;Issue&gt;2&lt;/Issue&gt;&lt;Address&gt;Department of Psychology, Harvard University, Cambridge, Massachusetts 02138, USA. nock@wjh.harvard.edu&lt;/Address&gt;&lt;Web_URL&gt;PM:15984084&lt;/Web_URL&gt;&lt;ZZ_JournalStdAbbrev&gt;&lt;f name="System"&gt;Clin.Child Fam.Psychol.Rev.&lt;/f&gt;&lt;/ZZ_JournalStdAbbrev&gt;&lt;ZZ_WorkformID&gt;1&lt;/ZZ_WorkformID&gt;&lt;/MDL&gt;&lt;/Cite&gt;&lt;Cite&gt;&lt;Author&gt;Otero&lt;/Author&gt;&lt;Year&gt;2000&lt;/Year&gt;&lt;RecNum&gt;8&lt;/RecNum&gt;&lt;IDText&gt;Maternal expressed emotion and treatment compliance of children with epilepsy&lt;/IDText&gt;&lt;MDL Ref_Type="Journal"&gt;&lt;Ref_Type&gt;Journal&lt;/Ref_Type&gt;&lt;Ref_ID&gt;8&lt;/Ref_ID&gt;&lt;Title_Primary&gt;Maternal expressed emotion and treatment compliance of children with epilepsy&lt;/Title_Primary&gt;&lt;Authors_Primary&gt;Otero,S.&lt;/Authors_Primary&gt;&lt;Authors_Primary&gt;Hodes,M.&lt;/Authors_Primary&gt;&lt;Date_Primary&gt;2000/9&lt;/Date_Primary&gt;&lt;Keywords&gt;Adolescent&lt;/Keywords&gt;&lt;Keywords&gt;Adult&lt;/Keywords&gt;&lt;Keywords&gt;Child&lt;/Keywords&gt;&lt;Keywords&gt;drug therapy&lt;/Keywords&gt;&lt;Keywords&gt;Epilepsy&lt;/Keywords&gt;&lt;Keywords&gt;Expressed Emotion&lt;/Keywords&gt;&lt;Keywords&gt;Female&lt;/Keywords&gt;&lt;Keywords&gt;Hostility&lt;/Keywords&gt;&lt;Keywords&gt;Humans&lt;/Keywords&gt;&lt;Keywords&gt;Male&lt;/Keywords&gt;&lt;Keywords&gt;Mental Health&lt;/Keywords&gt;&lt;Keywords&gt;Mother-Child Relations&lt;/Keywords&gt;&lt;Keywords&gt;Mothers&lt;/Keywords&gt;&lt;Keywords&gt;Patient Compliance&lt;/Keywords&gt;&lt;Keywords&gt;Prospective Studies&lt;/Keywords&gt;&lt;Keywords&gt;psychology&lt;/Keywords&gt;&lt;Reprint&gt;Not in File&lt;/Reprint&gt;&lt;Start_Page&gt;604&lt;/Start_Page&gt;&lt;End_Page&gt;608&lt;/End_Page&gt;&lt;Periodical&gt;Dev.Med.Child Neurol.&lt;/Periodical&gt;&lt;Volume&gt;42&lt;/Volume&gt;&lt;Issue&gt;9&lt;/Issue&gt;&lt;Address&gt;Academic Unit of Child and Adolescent Psychiatry, Imperial College School of Medicine, St Mary&amp;apos;s Campus, London, UK&lt;/Address&gt;&lt;Web_URL&gt;PM:11034453&lt;/Web_URL&gt;&lt;ZZ_JournalStdAbbrev&gt;&lt;f name="System"&gt;Dev.Med.Child Neurol.&lt;/f&gt;&lt;/ZZ_JournalStdAbbrev&gt;&lt;ZZ_WorkformID&gt;1&lt;/ZZ_WorkformID&gt;&lt;/MDL&gt;&lt;/Cite&gt;&lt;/Refman&gt;</w:instrText>
      </w:r>
      <w:r w:rsidR="009B5648">
        <w:fldChar w:fldCharType="separate"/>
      </w:r>
      <w:r>
        <w:t>[4-6]</w:t>
      </w:r>
      <w:r w:rsidR="009B5648">
        <w:fldChar w:fldCharType="end"/>
      </w:r>
      <w:r>
        <w:t>.</w:t>
      </w:r>
      <w:r w:rsidRPr="00DA4F2D">
        <w:t xml:space="preserve"> </w:t>
      </w:r>
    </w:p>
    <w:p w:rsidR="00BA6265" w:rsidRDefault="00BA6265" w:rsidP="00EA7371"/>
    <w:p w:rsidR="00BA6265" w:rsidRDefault="00BA6265" w:rsidP="00EA7371">
      <w:r w:rsidRPr="00DA4F2D">
        <w:t xml:space="preserve">Aboriginal people living in remote Northern Territory </w:t>
      </w:r>
      <w:r>
        <w:t xml:space="preserve">(NT) </w:t>
      </w:r>
      <w:r w:rsidRPr="00DA4F2D">
        <w:t>communities experience extreme disadvantage. The key underlying causes for this disadvantage are considered social inequality and powerlessness</w:t>
      </w:r>
      <w:r>
        <w:t>.  These</w:t>
      </w:r>
      <w:r w:rsidRPr="00DA4F2D">
        <w:t xml:space="preserve"> factors impact</w:t>
      </w:r>
      <w:r>
        <w:t xml:space="preserve"> </w:t>
      </w:r>
      <w:r w:rsidRPr="00DA4F2D">
        <w:t xml:space="preserve">negatively on health and </w:t>
      </w:r>
      <w:proofErr w:type="spellStart"/>
      <w:r w:rsidRPr="00DA4F2D">
        <w:t>well being</w:t>
      </w:r>
      <w:proofErr w:type="spellEnd"/>
      <w:r>
        <w:t xml:space="preserve"> </w:t>
      </w:r>
      <w:r w:rsidR="009B5648">
        <w:fldChar w:fldCharType="begin"/>
      </w:r>
      <w:r>
        <w:instrText xml:space="preserve"> ADDIN REFMGR.CITE &lt;Refman&gt;&lt;Cite&gt;&lt;Author&gt;Devitt&lt;/Author&gt;&lt;Year&gt;2001&lt;/Year&gt;&lt;RecNum&gt;24&lt;/RecNum&gt;&lt;IDText&gt;Underlying causes&lt;/IDText&gt;&lt;MDL Ref_Type="Book Chapter"&gt;&lt;Ref_Type&gt;Book Chapter&lt;/Ref_Type&gt;&lt;Ref_ID&gt;24&lt;/Ref_ID&gt;&lt;Title_Primary&gt;Underlying causes&lt;/Title_Primary&gt;&lt;Authors_Primary&gt;Devitt,J.&lt;/Authors_Primary&gt;&lt;Authors_Primary&gt;Hall,G.&lt;/Authors_Primary&gt;&lt;Authors_Primary&gt;Tsey,K.&lt;/Authors_Primary&gt;&lt;Date_Primary&gt;2001&lt;/Date_Primary&gt;&lt;Keywords&gt;Health&lt;/Keywords&gt;&lt;Reprint&gt;Not in File&lt;/Reprint&gt;&lt;Start_Page&gt;9&lt;/Start_Page&gt;&lt;End_Page&gt;18&lt;/End_Page&gt;&lt;Title_Secondary&gt;The Health and Welfare of Territorians&lt;/Title_Secondary&gt;&lt;Authors_Secondary&gt;Condon,J.&lt;/Authors_Secondary&gt;&lt;Authors_Secondary&gt;Warman,G.&lt;/Authors_Secondary&gt;&lt;Authors_Secondary&gt;Arnold,L.&lt;/Authors_Secondary&gt;&lt;Pub_Place&gt;Darwin&lt;/Pub_Place&gt;&lt;Publisher&gt;Epidemiology Branch, Territory Health Services&lt;/Publisher&gt;&lt;ZZ_WorkformID&gt;3&lt;/ZZ_WorkformID&gt;&lt;/MDL&gt;&lt;/Cite&gt;&lt;/Refman&gt;</w:instrText>
      </w:r>
      <w:r w:rsidR="009B5648">
        <w:fldChar w:fldCharType="separate"/>
      </w:r>
      <w:r>
        <w:t>[4]</w:t>
      </w:r>
      <w:r w:rsidR="009B5648">
        <w:fldChar w:fldCharType="end"/>
      </w:r>
      <w:r>
        <w:t>.</w:t>
      </w:r>
      <w:r w:rsidRPr="00DA4F2D">
        <w:rPr>
          <w:color w:val="FF0000"/>
        </w:rPr>
        <w:t xml:space="preserve"> </w:t>
      </w:r>
      <w:r w:rsidRPr="00DA4F2D">
        <w:t xml:space="preserve">Aboriginal families experience high levels of stress </w:t>
      </w:r>
      <w:r>
        <w:t xml:space="preserve">related to </w:t>
      </w:r>
      <w:r w:rsidRPr="00DA4F2D">
        <w:t>poverty, household overcrowding and poor housing.  Household membership consists of extended family members, and frequently includes one or more individuals with special needs (</w:t>
      </w:r>
      <w:r>
        <w:t>for example -</w:t>
      </w:r>
      <w:r w:rsidRPr="00DA4F2D">
        <w:t xml:space="preserve"> frail older people, or people with psychiatric disorders and/or in poor health from chronic diseases). Misuse of alcohol, drugs, or problem gambling, </w:t>
      </w:r>
      <w:r>
        <w:t xml:space="preserve">may also </w:t>
      </w:r>
      <w:r w:rsidRPr="00DA4F2D">
        <w:t xml:space="preserve">increase the stress experienced </w:t>
      </w:r>
      <w:r>
        <w:t>by</w:t>
      </w:r>
      <w:r w:rsidRPr="00DA4F2D">
        <w:t xml:space="preserve"> some families</w:t>
      </w:r>
      <w:r>
        <w:t xml:space="preserve"> </w:t>
      </w:r>
      <w:r w:rsidR="009B5648">
        <w:fldChar w:fldCharType="begin"/>
      </w:r>
      <w:r>
        <w:instrText xml:space="preserve"> ADDIN REFMGR.CITE &lt;Refman&gt;&lt;Cite&gt;&lt;Author&gt;McDonald&lt;/Author&gt;&lt;Year&gt;2011&lt;/Year&gt;&lt;RecNum&gt;3081&lt;/RecNum&gt;&lt;IDText&gt;Closing the Gap and Indigenous housing&lt;/IDText&gt;&lt;MDL Ref_Type="Journal"&gt;&lt;Ref_Type&gt;Journal&lt;/Ref_Type&gt;&lt;Ref_ID&gt;3081&lt;/Ref_ID&gt;&lt;Title_Primary&gt;Closing the Gap and Indigenous housing&lt;/Title_Primary&gt;&lt;Authors_Primary&gt;McDonald,E.L.&lt;/Authors_Primary&gt;&lt;Date_Primary&gt;2011/12/12&lt;/Date_Primary&gt;&lt;Keywords&gt;Aboriginal&lt;/Keywords&gt;&lt;Keywords&gt;Australia&lt;/Keywords&gt;&lt;Keywords&gt;Child&lt;/Keywords&gt;&lt;Keywords&gt;Child Health&lt;/Keywords&gt;&lt;Keywords&gt;Communities&lt;/Keywords&gt;&lt;Keywords&gt;Community&lt;/Keywords&gt;&lt;Keywords&gt;Health&lt;/Keywords&gt;&lt;Keywords&gt;Health Research&lt;/Keywords&gt;&lt;Keywords&gt;Housing&lt;/Keywords&gt;&lt;Keywords&gt;Indigenous&lt;/Keywords&gt;&lt;Keywords&gt;Research&lt;/Keywords&gt;&lt;Reprint&gt;Not in File&lt;/Reprint&gt;&lt;Start_Page&gt;652&lt;/Start_Page&gt;&lt;End_Page&gt;653&lt;/End_Page&gt;&lt;Periodical&gt;Med.J.Aust.&lt;/Periodical&gt;&lt;Volume&gt;195&lt;/Volume&gt;&lt;Issue&gt;11-12&lt;/Issue&gt;&lt;Address&gt;Child Health Division, Menzies School of Health Research, Charles Darwin University, Darwin, NT, Australia. Elizabeth.McDonald@menzies.edu.au&lt;/Address&gt;&lt;Web_URL&gt;PM:22171852&lt;/Web_URL&gt;&lt;ZZ_JournalStdAbbrev&gt;&lt;f name="System"&gt;Med.J.Aust.&lt;/f&gt;&lt;/ZZ_JournalStdAbbrev&gt;&lt;ZZ_WorkformID&gt;1&lt;/ZZ_WorkformID&gt;&lt;/MDL&gt;&lt;/Cite&gt;&lt;/Refman&gt;</w:instrText>
      </w:r>
      <w:r w:rsidR="009B5648">
        <w:fldChar w:fldCharType="separate"/>
      </w:r>
      <w:r>
        <w:t>[5]</w:t>
      </w:r>
      <w:r w:rsidR="009B5648">
        <w:fldChar w:fldCharType="end"/>
      </w:r>
      <w:r>
        <w:t>.</w:t>
      </w:r>
      <w:r w:rsidRPr="00DA4F2D">
        <w:rPr>
          <w:color w:val="FF0000"/>
        </w:rPr>
        <w:t xml:space="preserve"> </w:t>
      </w:r>
      <w:r>
        <w:t>P</w:t>
      </w:r>
      <w:r w:rsidRPr="00DA4F2D">
        <w:t xml:space="preserve">arenting practices more suited to the hunter-gatherer lifestyle than permanent settlement, high rates of teenage pregnancy, and a high proportion of single parent households all present as risks to children’s health and wellbeing in remote communities. These factors </w:t>
      </w:r>
      <w:r>
        <w:t>contribute</w:t>
      </w:r>
      <w:r w:rsidRPr="00DA4F2D">
        <w:t xml:space="preserve"> to young children living in these communities experiencing a high burden of</w:t>
      </w:r>
      <w:r>
        <w:t xml:space="preserve"> recurrent acute and chronic</w:t>
      </w:r>
      <w:r w:rsidRPr="00DA4F2D">
        <w:t xml:space="preserve"> infection</w:t>
      </w:r>
      <w:r>
        <w:t xml:space="preserve">. This results in children experiencing chronic health conditions not commonly found among their non-Indigenous counterparts, for example chronic </w:t>
      </w:r>
      <w:proofErr w:type="spellStart"/>
      <w:r>
        <w:t>suppurative</w:t>
      </w:r>
      <w:proofErr w:type="spellEnd"/>
      <w:r>
        <w:t xml:space="preserve"> otitis media (CSOM) with fluctuating or permanent hearing loss and chronic lung disease </w:t>
      </w:r>
      <w:r w:rsidR="009B5648">
        <w:fldChar w:fldCharType="begin"/>
      </w:r>
      <w:r>
        <w:instrText xml:space="preserve"> ADDIN REFMGR.CITE &lt;Refman&gt;&lt;Cite&gt;&lt;Author&gt;McDonald&lt;/Author&gt;&lt;Year&gt;2009&lt;/Year&gt;&lt;RecNum&gt;2954&lt;/RecNum&gt;&lt;IDText&gt;A case study of physical and social barriers to hygiene and child growth in remote Australian Aboriginal communities&lt;/IDText&gt;&lt;MDL Ref_Type="Journal"&gt;&lt;Ref_Type&gt;Journal&lt;/Ref_Type&gt;&lt;Ref_ID&gt;2954&lt;/Ref_ID&gt;&lt;Title_Primary&gt;A case study of physical and social barriers to hygiene and child growth in remote Australian Aboriginal communities&lt;/Title_Primary&gt;&lt;Authors_Primary&gt;McDonald,E.&lt;/Authors_Primary&gt;&lt;Authors_Primary&gt;Bailie,R.&lt;/Authors_Primary&gt;&lt;Authors_Primary&gt;Grace,J.&lt;/Authors_Primary&gt;&lt;Authors_Primary&gt;Brewster,D.&lt;/Authors_Primary&gt;&lt;Date_Primary&gt;2009/9/18&lt;/Date_Primary&gt;&lt;Keywords&gt;Aboriginal&lt;/Keywords&gt;&lt;Keywords&gt;Australia&lt;/Keywords&gt;&lt;Keywords&gt;Child&lt;/Keywords&gt;&lt;Keywords&gt;children&lt;/Keywords&gt;&lt;Keywords&gt;Communities&lt;/Keywords&gt;&lt;Keywords&gt;Community&lt;/Keywords&gt;&lt;Keywords&gt;Crowding&lt;/Keywords&gt;&lt;Keywords&gt;Environment&lt;/Keywords&gt;&lt;Keywords&gt;Focus Groups&lt;/Keywords&gt;&lt;Keywords&gt;Growth&lt;/Keywords&gt;&lt;Keywords&gt;Housing&lt;/Keywords&gt;&lt;Keywords&gt;Hygiene&lt;/Keywords&gt;&lt;Keywords&gt;Infection&lt;/Keywords&gt;&lt;Keywords&gt;Interviews&lt;/Keywords&gt;&lt;Keywords&gt;methods&lt;/Keywords&gt;&lt;Keywords&gt;practice&lt;/Keywords&gt;&lt;Keywords&gt;remote&lt;/Keywords&gt;&lt;Keywords&gt;remote communities&lt;/Keywords&gt;&lt;Keywords&gt;social&lt;/Keywords&gt;&lt;Keywords&gt;standards&lt;/Keywords&gt;&lt;Reprint&gt;Not in File&lt;/Reprint&gt;&lt;Start_Page&gt;346&lt;/Start_Page&gt;&lt;Periodical&gt;BMC.Public Health&lt;/Periodical&gt;&lt;Volume&gt;9&lt;/Volume&gt;&lt;Issue&gt;1&lt;/Issue&gt;&lt;Web_URL&gt;PM:19761623&lt;/Web_URL&gt;&lt;ZZ_JournalStdAbbrev&gt;&lt;f name="System"&gt;BMC.Public Health&lt;/f&gt;&lt;/ZZ_JournalStdAbbrev&gt;&lt;ZZ_WorkformID&gt;1&lt;/ZZ_WorkformID&gt;&lt;/MDL&gt;&lt;/Cite&gt;&lt;Cite&gt;&lt;Author&gt;Morris&lt;/Author&gt;&lt;Year&gt;2005&lt;/Year&gt;&lt;RecNum&gt;3052&lt;/RecNum&gt;&lt;IDText&gt;Otitis media in young Aboriginal children from remote communities in Northern and Central Australia: a cross-sectional survey&lt;/IDText&gt;&lt;MDL Ref_Type="Electronic Citation"&gt;&lt;Ref_Type&gt;Electronic Citation&lt;/Ref_Type&gt;&lt;Ref_ID&gt;3052&lt;/Ref_ID&gt;&lt;Title_Primary&gt;Otitis media in young Aboriginal children from remote communities in Northern and Central Australia: a cross-sectional survey&lt;/Title_Primary&gt;&lt;Authors_Primary&gt;Morris,P.S.&lt;/Authors_Primary&gt;&lt;Authors_Primary&gt;Leach,A.J.&lt;/Authors_Primary&gt;&lt;Authors_Primary&gt;Silberberg,P.&lt;/Authors_Primary&gt;&lt;Authors_Primary&gt;Mellon,G.&lt;/Authors_Primary&gt;&lt;Authors_Primary&gt;Wilson,C.&lt;/Authors_Primary&gt;&lt;Authors_Primary&gt;Hamilton,E.&lt;/Authors_Primary&gt;&lt;Authors_Primary&gt;Beissbarth,J.&lt;/Authors_Primary&gt;&lt;Date_Primary&gt;2005&lt;/Date_Primary&gt;&lt;Keywords&gt;Otitis Media&lt;/Keywords&gt;&lt;Keywords&gt;Aboriginal&lt;/Keywords&gt;&lt;Keywords&gt;children&lt;/Keywords&gt;&lt;Keywords&gt;remote&lt;/Keywords&gt;&lt;Keywords&gt;remote communities&lt;/Keywords&gt;&lt;Keywords&gt;Communities&lt;/Keywords&gt;&lt;Keywords&gt;Community&lt;/Keywords&gt;&lt;Keywords&gt;Australia&lt;/Keywords&gt;&lt;Reprint&gt;Not in File&lt;/Reprint&gt;&lt;Periodical&gt;BMC Pediatrics&lt;/Periodical&gt;&lt;Volume&gt;5&lt;/Volume&gt;&lt;Issue&gt;27&lt;/Issue&gt;&lt;Date_Secondary&gt;2011/9/13&lt;/Date_Secondary&gt;&lt;Web_URL_Link1&gt;&lt;u&gt;http://www.biomedcentral.com/content/pdf/1471-2431-5-27.pdf&lt;/u&gt;&lt;/Web_URL_Link1&gt;&lt;ZZ_JournalFull&gt;&lt;f name="System"&gt;BMC Pediatrics&lt;/f&gt;&lt;/ZZ_JournalFull&gt;&lt;ZZ_WorkformID&gt;34&lt;/ZZ_WorkformID&gt;&lt;/MDL&gt;&lt;/Cite&gt;&lt;Cite&gt;&lt;Author&gt;Chang&lt;/Author&gt;&lt;Year&gt;2002&lt;/Year&gt;&lt;RecNum&gt;2992&lt;/RecNum&gt;&lt;IDText&gt;Bronchiectasis in Indigenous children in remote Australian communities&lt;/IDText&gt;&lt;MDL Ref_Type="Journal"&gt;&lt;Ref_Type&gt;Journal&lt;/Ref_Type&gt;&lt;Ref_ID&gt;2992&lt;/Ref_ID&gt;&lt;Title_Primary&gt;Bronchiectasis in Indigenous children in remote Australian communities&lt;/Title_Primary&gt;&lt;Authors_Primary&gt;Chang,A.B.&lt;/Authors_Primary&gt;&lt;Authors_Primary&gt;Grimwood,K.&lt;/Authors_Primary&gt;&lt;Authors_Primary&gt;Mulholland,E.K.&lt;/Authors_Primary&gt;&lt;Authors_Primary&gt;Torzillo,P.J.&lt;/Authors_Primary&gt;&lt;Date_Primary&gt;2002/8/19&lt;/Date_Primary&gt;&lt;Keywords&gt;Aboriginal&lt;/Keywords&gt;&lt;Keywords&gt;Australia&lt;/Keywords&gt;&lt;Keywords&gt;children&lt;/Keywords&gt;&lt;Keywords&gt;Communities&lt;/Keywords&gt;&lt;Keywords&gt;Community&lt;/Keywords&gt;&lt;Keywords&gt;education&lt;/Keywords&gt;&lt;Keywords&gt;healthcare&lt;/Keywords&gt;&lt;Keywords&gt;Housing&lt;/Keywords&gt;&lt;Keywords&gt;Illness&lt;/Keywords&gt;&lt;Keywords&gt;Indigenous&lt;/Keywords&gt;&lt;Keywords&gt;Nutrition&lt;/Keywords&gt;&lt;Keywords&gt;Pneumonia&lt;/Keywords&gt;&lt;Keywords&gt;remote&lt;/Keywords&gt;&lt;Keywords&gt;review&lt;/Keywords&gt;&lt;Keywords&gt;service&lt;/Keywords&gt;&lt;Keywords&gt;therapy&lt;/Keywords&gt;&lt;Reprint&gt;Not in File&lt;/Reprint&gt;&lt;Start_Page&gt;200&lt;/Start_Page&gt;&lt;End_Page&gt;204&lt;/End_Page&gt;&lt;Periodical&gt;Med.J Aust.&lt;/Periodical&gt;&lt;Volume&gt;177&lt;/Volume&gt;&lt;Issue&gt;4&lt;/Issue&gt;&lt;Address&gt;Department of Respiratory Medicine, Royal Children&amp;apos;s Hospital, Herston, QLD 4029, Australia. abchang@mac.com&lt;/Address&gt;&lt;Web_URL&gt;PM:12175325&lt;/Web_URL&gt;&lt;ZZ_JournalFull&gt;&lt;f name="System"&gt;Med.J Aust.&lt;/f&gt;&lt;/ZZ_JournalFull&gt;&lt;ZZ_WorkformID&gt;1&lt;/ZZ_WorkformID&gt;&lt;/MDL&gt;&lt;/Cite&gt;&lt;Cite&gt;&lt;Author&gt;Chang&lt;/Author&gt;&lt;Year&gt;2010&lt;/Year&gt;&lt;RecNum&gt;3290&lt;/RecNum&gt;&lt;IDText&gt;Chronic suppurative lung disease and bronchiectasis in children and adults in Australia and New Zealand&lt;/IDText&gt;&lt;MDL Ref_Type="Journal"&gt;&lt;Ref_Type&gt;Journal&lt;/Ref_Type&gt;&lt;Ref_ID&gt;3290&lt;/Ref_ID&gt;&lt;Title_Primary&gt;Chronic suppurative lung disease and bronchiectasis in children and adults in Australia and New Zealand&lt;/Title_Primary&gt;&lt;Authors_Primary&gt;Chang,A.B.&lt;/Authors_Primary&gt;&lt;Authors_Primary&gt;Bell,S.C.&lt;/Authors_Primary&gt;&lt;Authors_Primary&gt;Byrnes,C.A.&lt;/Authors_Primary&gt;&lt;Authors_Primary&gt;Grimwood,K.&lt;/Authors_Primary&gt;&lt;Authors_Primary&gt;Holmes,P.W.&lt;/Authors_Primary&gt;&lt;Authors_Primary&gt;King,P.T.&lt;/Authors_Primary&gt;&lt;Authors_Primary&gt;Kolbe,J.&lt;/Authors_Primary&gt;&lt;Authors_Primary&gt;Landau,L.I.&lt;/Authors_Primary&gt;&lt;Authors_Primary&gt;Maguire,G.P.&lt;/Authors_Primary&gt;&lt;Authors_Primary&gt;McDonald,M.I.&lt;/Authors_Primary&gt;&lt;Authors_Primary&gt;Reid,D.W.&lt;/Authors_Primary&gt;&lt;Authors_Primary&gt;Thien,F.C.&lt;/Authors_Primary&gt;&lt;Authors_Primary&gt;Torzillo,P.J.&lt;/Authors_Primary&gt;&lt;Date_Primary&gt;2010/9/20&lt;/Date_Primary&gt;&lt;Keywords&gt;administration &amp;amp; dosage&lt;/Keywords&gt;&lt;Keywords&gt;Adult&lt;/Keywords&gt;&lt;Keywords&gt;Australia&lt;/Keywords&gt;&lt;Keywords&gt;Bronchiectasis&lt;/Keywords&gt;&lt;Keywords&gt;Bronchodilator Agents&lt;/Keywords&gt;&lt;Keywords&gt;Child&lt;/Keywords&gt;&lt;Keywords&gt;children&lt;/Keywords&gt;&lt;Keywords&gt;Chronic Disease&lt;/Keywords&gt;&lt;Keywords&gt;Clinical&lt;/Keywords&gt;&lt;Keywords&gt;Comorbidity&lt;/Keywords&gt;&lt;Keywords&gt;complications&lt;/Keywords&gt;&lt;Keywords&gt;Consensus&lt;/Keywords&gt;&lt;Keywords&gt;control&lt;/Keywords&gt;&lt;Keywords&gt;Culture&lt;/Keywords&gt;&lt;Keywords&gt;diagnosis&lt;/Keywords&gt;&lt;Keywords&gt;Disease&lt;/Keywords&gt;&lt;Keywords&gt;Disease Progression&lt;/Keywords&gt;&lt;Keywords&gt;environmental&lt;/Keywords&gt;&lt;Keywords&gt;Environmental Pollutants&lt;/Keywords&gt;&lt;Keywords&gt;epidemiology&lt;/Keywords&gt;&lt;Keywords&gt;Exercise&lt;/Keywords&gt;&lt;Keywords&gt;Expectorants&lt;/Keywords&gt;&lt;Keywords&gt;Glucocorticoids&lt;/Keywords&gt;&lt;Keywords&gt;Health&lt;/Keywords&gt;&lt;Keywords&gt;Health Care&lt;/Keywords&gt;&lt;Keywords&gt;Humans&lt;/Keywords&gt;&lt;Keywords&gt;monitoring&lt;/Keywords&gt;&lt;Keywords&gt;Mortality&lt;/Keywords&gt;&lt;Keywords&gt;New Zealand&lt;/Keywords&gt;&lt;Keywords&gt;Nutrition&lt;/Keywords&gt;&lt;Keywords&gt;pathology&lt;/Keywords&gt;&lt;Keywords&gt;Patients&lt;/Keywords&gt;&lt;Keywords&gt;Primary Health Care&lt;/Keywords&gt;&lt;Keywords&gt;Public Health&lt;/Keywords&gt;&lt;Keywords&gt;quality&lt;/Keywords&gt;&lt;Keywords&gt;Quality of Life&lt;/Keywords&gt;&lt;Keywords&gt;Queensland&lt;/Keywords&gt;&lt;Keywords&gt;Research&lt;/Keywords&gt;&lt;Keywords&gt;Research Support&lt;/Keywords&gt;&lt;Keywords&gt;review&lt;/Keywords&gt;&lt;Keywords&gt;Reviews&lt;/Keywords&gt;&lt;Keywords&gt;Suppuration&lt;/Keywords&gt;&lt;Keywords&gt;therapy&lt;/Keywords&gt;&lt;Reprint&gt;Not in File&lt;/Reprint&gt;&lt;Start_Page&gt;356&lt;/Start_Page&gt;&lt;End_Page&gt;365&lt;/End_Page&gt;&lt;Periodical&gt;Med.J.Aust.&lt;/Periodical&gt;&lt;Volume&gt;193&lt;/Volume&gt;&lt;Issue&gt;6&lt;/Issue&gt;&lt;Address&gt;Royal Children&amp;apos;s Hospital and Queensland Children&amp;apos;s Medical Research Institute, Brisbane, QLD, Australia. annechang@ausdoctors.net&lt;/Address&gt;&lt;Web_URL&gt;PM:20854242&lt;/Web_URL&gt;&lt;ZZ_JournalStdAbbrev&gt;&lt;f name="System"&gt;Med.J.Aust.&lt;/f&gt;&lt;/ZZ_JournalStdAbbrev&gt;&lt;ZZ_WorkformID&gt;1&lt;/ZZ_WorkformID&gt;&lt;/MDL&gt;&lt;/Cite&gt;&lt;/Refman&gt;</w:instrText>
      </w:r>
      <w:r w:rsidR="009B5648">
        <w:fldChar w:fldCharType="separate"/>
      </w:r>
      <w:r>
        <w:t>[6-9]</w:t>
      </w:r>
      <w:r w:rsidR="009B5648">
        <w:fldChar w:fldCharType="end"/>
      </w:r>
      <w:r>
        <w:t>.</w:t>
      </w:r>
      <w:r w:rsidRPr="00DA4F2D">
        <w:t xml:space="preserve">  </w:t>
      </w:r>
      <w:r>
        <w:t>The need to i</w:t>
      </w:r>
      <w:r w:rsidRPr="00DA4F2D">
        <w:t xml:space="preserve">dentify strategies </w:t>
      </w:r>
      <w:r>
        <w:t>that</w:t>
      </w:r>
      <w:r w:rsidRPr="00DA4F2D">
        <w:t xml:space="preserve"> </w:t>
      </w:r>
      <w:r>
        <w:t xml:space="preserve">promote </w:t>
      </w:r>
      <w:r w:rsidRPr="00DA4F2D">
        <w:t xml:space="preserve">treatment adherence for Aboriginal children with chronic </w:t>
      </w:r>
      <w:r>
        <w:t xml:space="preserve">conditions </w:t>
      </w:r>
      <w:r w:rsidRPr="00DA4F2D">
        <w:t xml:space="preserve">is urgent. </w:t>
      </w:r>
      <w:r>
        <w:t xml:space="preserve">The underlying reason for completing this review was to investigate the strength of the evidence available to support the use of </w:t>
      </w:r>
      <w:r w:rsidRPr="00DA4F2D">
        <w:t>Short Message Service (SMS)</w:t>
      </w:r>
      <w:r>
        <w:t xml:space="preserve"> to promote improved treatment adherence for CSOM for this population group. Aboriginal children with CSOM require complex and co-ordinated care </w:t>
      </w:r>
      <w:r w:rsidR="009B5648">
        <w:fldChar w:fldCharType="begin"/>
      </w:r>
      <w:r>
        <w:instrText xml:space="preserve"> ADDIN REFMGR.CITE &lt;Refman&gt;&lt;Cite&gt;&lt;Author&gt;Office for Aboriginal and Torres Strait Islander Health&lt;/Author&gt;&lt;Year&gt;2012&lt;/Year&gt;&lt;RecNum&gt;3333&lt;/RecNum&gt;&lt;IDText&gt;Recommendations for Clinical Care Guidelines on the Management of Otitis Media in Aboriginal and Torres Strait Islander Populations: updated 2010&lt;/IDText&gt;&lt;MDL Ref_Type="Electronic Citation"&gt;&lt;Ref_Type&gt;Electronic Citation&lt;/Ref_Type&gt;&lt;Ref_ID&gt;3333&lt;/Ref_ID&gt;&lt;Title_Primary&gt;Recommendations for Clinical Care Guidelines on the Management of Otitis Media in Aboriginal and Torres Strait Islander Populations: updated 2010&lt;/Title_Primary&gt;&lt;Authors_Primary&gt;Office for Aboriginal and Torres Strait Islander Health,Australian Government Dept of Health and Ageing&lt;/Authors_Primary&gt;&lt;Date_Primary&gt;2012&lt;/Date_Primary&gt;&lt;Keywords&gt;Clinical&lt;/Keywords&gt;&lt;Keywords&gt;Guidelines&lt;/Keywords&gt;&lt;Keywords&gt;Otitis Media&lt;/Keywords&gt;&lt;Keywords&gt;Aboriginal&lt;/Keywords&gt;&lt;Keywords&gt;Torres Strait Islander&lt;/Keywords&gt;&lt;Reprint&gt;Not in File&lt;/Reprint&gt;&lt;Periodical&gt;Dept of Health and Ageing, Australian Government&lt;/Periodical&gt;&lt;Date_Secondary&gt;2013/5/14&lt;/Date_Secondary&gt;&lt;Web_URL&gt;&lt;u&gt;http://www.health.gov.au/internet/main/publishing.nsf/Content/health-oatsih-pubs-omp.htm&lt;/u&gt;&lt;/Web_URL&gt;&lt;ZZ_JournalFull&gt;&lt;f name="System"&gt;Dept of Health and Ageing, Australian Government&lt;/f&gt;&lt;/ZZ_JournalFull&gt;&lt;ZZ_WorkformID&gt;34&lt;/ZZ_WorkformID&gt;&lt;/MDL&gt;&lt;/Cite&gt;&lt;/Refman&gt;</w:instrText>
      </w:r>
      <w:r w:rsidR="009B5648">
        <w:fldChar w:fldCharType="separate"/>
      </w:r>
      <w:r>
        <w:t>[10]</w:t>
      </w:r>
      <w:r w:rsidR="009B5648">
        <w:fldChar w:fldCharType="end"/>
      </w:r>
      <w:r>
        <w:t xml:space="preserve">. Treatment delivered in the home, and the presentation of children for regular medical and </w:t>
      </w:r>
      <w:proofErr w:type="spellStart"/>
      <w:r>
        <w:t>audiological</w:t>
      </w:r>
      <w:proofErr w:type="spellEnd"/>
      <w:r>
        <w:t xml:space="preserve"> review, are important elements to successful resolution of CSOM.</w:t>
      </w:r>
    </w:p>
    <w:p w:rsidR="00BA6265" w:rsidRDefault="00BA6265" w:rsidP="00EA7371"/>
    <w:p w:rsidR="00BA6265" w:rsidRPr="0009221A" w:rsidRDefault="00BA6265" w:rsidP="00EA7371">
      <w:r w:rsidRPr="0009221A">
        <w:t xml:space="preserve">Globally, communicating by means of SMS is popular. Messages sent by SMS are reported to be a </w:t>
      </w:r>
      <w:proofErr w:type="spellStart"/>
      <w:r w:rsidRPr="0009221A">
        <w:t>well accepted</w:t>
      </w:r>
      <w:proofErr w:type="spellEnd"/>
      <w:r w:rsidRPr="0009221A">
        <w:t xml:space="preserve"> by recipients </w:t>
      </w:r>
      <w:r w:rsidR="009B5648" w:rsidRPr="0009221A">
        <w:fldChar w:fldCharType="begin"/>
      </w:r>
      <w:r w:rsidRPr="0009221A">
        <w:instrText xml:space="preserve"> ADDIN REFMGR.CITE &lt;Refman&gt;&lt;Cite&gt;&lt;Author&gt;World Health Organization&lt;/Author&gt;&lt;Year&gt;2011&lt;/Year&gt;&lt;RecNum&gt;14&lt;/RecNum&gt;&lt;IDText&gt;mHealth: New horizons for health through mobile technologies&lt;/IDText&gt;&lt;MDL Ref_Type="Electronic Citation"&gt;&lt;Ref_Type&gt;Electronic Citation&lt;/Ref_Type&gt;&lt;Ref_ID&gt;14&lt;/Ref_ID&gt;&lt;Title_Primary&gt;mHealth: New horizons for health through mobile technologies&lt;/Title_Primary&gt;&lt;Authors_Primary&gt;World Health Organization&lt;/Authors_Primary&gt;&lt;Date_Primary&gt;2011&lt;/Date_Primary&gt;&lt;Reprint&gt;Not in File&lt;/Reprint&gt;&lt;Periodical&gt;WHO Publication&lt;/Periodical&gt;&lt;Volume&gt;Global Observatory for eHealth series - Volume 3&lt;/Volume&gt;&lt;Web_URL&gt;&lt;u&gt;http://www.who.int/goe/publications/goe_mhealth_web.pdf&lt;/u&gt;&lt;/Web_URL&gt;&lt;ZZ_JournalFull&gt;&lt;f name="System"&gt;WHO Publication&lt;/f&gt;&lt;/ZZ_JournalFull&gt;&lt;ZZ_WorkformID&gt;34&lt;/ZZ_WorkformID&gt;&lt;/MDL&gt;&lt;/Cite&gt;&lt;/Refman&gt;</w:instrText>
      </w:r>
      <w:r w:rsidR="009B5648" w:rsidRPr="0009221A">
        <w:fldChar w:fldCharType="separate"/>
      </w:r>
      <w:r w:rsidRPr="0009221A">
        <w:t>[1</w:t>
      </w:r>
      <w:r>
        <w:t>1</w:t>
      </w:r>
      <w:r w:rsidRPr="0009221A">
        <w:t>]</w:t>
      </w:r>
      <w:r w:rsidR="009B5648" w:rsidRPr="0009221A">
        <w:fldChar w:fldCharType="end"/>
      </w:r>
      <w:r w:rsidRPr="0009221A">
        <w:t xml:space="preserve">. It is generally considered that SMS communication provides a cost-effective and efficient way to send reminder, educational and motivational communications to improve adherence to treatment and attendance for follow-up review </w:t>
      </w:r>
      <w:r w:rsidR="009B5648" w:rsidRPr="0009221A">
        <w:fldChar w:fldCharType="begin"/>
      </w:r>
      <w:r w:rsidRPr="0009221A">
        <w:instrText xml:space="preserve"> ADDIN REFMGR.CITE &lt;Refman&gt;&lt;Cite&gt;&lt;Author&gt;World Health Organization&lt;/Author&gt;&lt;Year&gt;2011&lt;/Year&gt;&lt;RecNum&gt;14&lt;/RecNum&gt;&lt;IDText&gt;mHealth: New horizons for health through mobile technologies&lt;/IDText&gt;&lt;MDL Ref_Type="Electronic Citation"&gt;&lt;Ref_Type&gt;Electronic Citation&lt;/Ref_Type&gt;&lt;Ref_ID&gt;14&lt;/Ref_ID&gt;&lt;Title_Primary&gt;mHealth: New horizons for health through mobile technologies&lt;/Title_Primary&gt;&lt;Authors_Primary&gt;World Health Organization&lt;/Authors_Primary&gt;&lt;Date_Primary&gt;2011&lt;/Date_Primary&gt;&lt;Reprint&gt;Not in File&lt;/Reprint&gt;&lt;Periodical&gt;WHO Publication&lt;/Periodical&gt;&lt;Volume&gt;Global Observatory for eHealth series - Volume 3&lt;/Volume&gt;&lt;Web_URL&gt;&lt;u&gt;http://www.who.int/goe/publications/goe_mhealth_web.pdf&lt;/u&gt;&lt;/Web_URL&gt;&lt;ZZ_JournalFull&gt;&lt;f name="System"&gt;WHO Publication&lt;/f&gt;&lt;/ZZ_JournalFull&gt;&lt;ZZ_WorkformID&gt;34&lt;/ZZ_WorkformID&gt;&lt;/MDL&gt;&lt;/Cite&gt;&lt;/Refman&gt;</w:instrText>
      </w:r>
      <w:r w:rsidR="009B5648" w:rsidRPr="0009221A">
        <w:fldChar w:fldCharType="separate"/>
      </w:r>
      <w:r w:rsidRPr="0009221A">
        <w:t>[1</w:t>
      </w:r>
      <w:r>
        <w:t>1</w:t>
      </w:r>
      <w:r w:rsidRPr="0009221A">
        <w:t>]</w:t>
      </w:r>
      <w:r w:rsidR="009B5648" w:rsidRPr="0009221A">
        <w:fldChar w:fldCharType="end"/>
      </w:r>
      <w:r w:rsidRPr="0009221A">
        <w:t xml:space="preserve">. Ownership of mobile telephones among Aboriginal people living in the remote NT communities (that have mobile communication coverage) is high </w:t>
      </w:r>
      <w:r w:rsidR="009B5648" w:rsidRPr="0009221A">
        <w:fldChar w:fldCharType="begin"/>
      </w:r>
      <w:r w:rsidRPr="0009221A">
        <w:instrText xml:space="preserve"> ADDIN REFMGR.CITE &lt;Refman&gt;&lt;Cite&gt;&lt;Author&gt;Australian Communications and Media Authority&lt;/Author&gt;&lt;Year&gt;2008&lt;/Year&gt;&lt;RecNum&gt;3088&lt;/RecNum&gt;&lt;IDText&gt;Telecommunications in Remote Indigenous Communities&lt;/IDText&gt;&lt;MDL Ref_Type="Electronic Citation"&gt;&lt;Ref_Type&gt;Electronic Citation&lt;/Ref_Type&gt;&lt;Ref_ID&gt;3088&lt;/Ref_ID&gt;&lt;Title_Primary&gt;Telecommunications in Remote Indigenous Communities&lt;/Title_Primary&gt;&lt;Authors_Primary&gt;Australian Communications and Media Authority&lt;/Authors_Primary&gt;&lt;Date_Primary&gt;2008&lt;/Date_Primary&gt;&lt;Keywords&gt;remote&lt;/Keywords&gt;&lt;Keywords&gt;Indigenous&lt;/Keywords&gt;&lt;Keywords&gt;Communities&lt;/Keywords&gt;&lt;Keywords&gt;Community&lt;/Keywords&gt;&lt;Reprint&gt;Not in File&lt;/Reprint&gt;&lt;Periodical&gt;ACMA and Australian Government&lt;/Periodical&gt;&lt;Date_Secondary&gt;2012/7/10&lt;/Date_Secondary&gt;&lt;Web_URL&gt;&lt;u&gt;http://www.acma.gov.au/WEB/STANDARD/pc=PC_311397&lt;/u&gt;&lt;/Web_URL&gt;&lt;ZZ_JournalFull&gt;&lt;f name="System"&gt;ACMA and Australian Government&lt;/f&gt;&lt;/ZZ_JournalFull&gt;&lt;ZZ_WorkformID&gt;34&lt;/ZZ_WorkformID&gt;&lt;/MDL&gt;&lt;/Cite&gt;&lt;Cite&gt;&lt;Author&gt;Tangentyere Council and Central Land Council&lt;/Author&gt;&lt;Year&gt;2007&lt;/Year&gt;&lt;RecNum&gt;3087&lt;/RecNum&gt;&lt;IDText&gt;Ingerrekenhe Antirrkweme: Mobile Phone Use Among Low Income Aboriginal People, A Central Australian Snapshot&lt;/IDText&gt;&lt;MDL Ref_Type="Electronic Citation"&gt;&lt;Ref_Type&gt;Electronic Citation&lt;/Ref_Type&gt;&lt;Ref_ID&gt;3087&lt;/Ref_ID&gt;&lt;Title_Primary&gt;Ingerrekenhe Antirrkweme: Mobile Phone Use Among Low Income Aboriginal People, A Central Australian Snapshot&lt;/Title_Primary&gt;&lt;Authors_Primary&gt;Tangentyere Council and Central Land Council&lt;/Authors_Primary&gt;&lt;Date_Primary&gt;2007&lt;/Date_Primary&gt;&lt;Keywords&gt;Aboriginal&lt;/Keywords&gt;&lt;Reprint&gt;Not in File&lt;/Reprint&gt;&lt;Periodical&gt;Tangentyere Land Council&lt;/Periodical&gt;&lt;Date_Secondary&gt;2012/7/10&lt;/Date_Secondary&gt;&lt;Web_URL&gt;&lt;u&gt;http://www.tangentyere.org.au/publications/research_reports/MobilePhone.pdf&lt;/u&gt;&lt;/Web_URL&gt;&lt;ZZ_JournalFull&gt;&lt;f name="System"&gt;Tangentyere Land Council&lt;/f&gt;&lt;/ZZ_JournalFull&gt;&lt;ZZ_WorkformID&gt;34&lt;/ZZ_WorkformID&gt;&lt;/MDL&gt;&lt;/Cite&gt;&lt;/Refman&gt;</w:instrText>
      </w:r>
      <w:r w:rsidR="009B5648" w:rsidRPr="0009221A">
        <w:fldChar w:fldCharType="separate"/>
      </w:r>
      <w:r w:rsidRPr="0009221A">
        <w:t>[1</w:t>
      </w:r>
      <w:r>
        <w:t>2</w:t>
      </w:r>
      <w:r w:rsidRPr="0009221A">
        <w:t>,1</w:t>
      </w:r>
      <w:r>
        <w:t>3</w:t>
      </w:r>
      <w:r w:rsidRPr="0009221A">
        <w:t>]</w:t>
      </w:r>
      <w:r w:rsidR="009B5648" w:rsidRPr="0009221A">
        <w:fldChar w:fldCharType="end"/>
      </w:r>
      <w:r w:rsidRPr="0009221A">
        <w:t>. Mobile communication coverage in remote areas of Australia is growing, by June 2013 the Australian Government plans that two thirds of remote Australia will have mobile communication coverage.</w:t>
      </w:r>
    </w:p>
    <w:p w:rsidR="00BA6265" w:rsidRPr="00DA4F2D" w:rsidRDefault="00BA6265" w:rsidP="00EA7371"/>
    <w:p w:rsidR="00BA6265" w:rsidRDefault="00BA6265" w:rsidP="00EA7371">
      <w:r w:rsidRPr="00DA4F2D">
        <w:t>In</w:t>
      </w:r>
      <w:r w:rsidRPr="00DA4F2D">
        <w:rPr>
          <w:color w:val="FF6600"/>
        </w:rPr>
        <w:t xml:space="preserve"> </w:t>
      </w:r>
      <w:r w:rsidRPr="00DA4F2D">
        <w:t xml:space="preserve">this systematic literature review, we investigate the evidence to support that regular SMS or MMS sent via mobile telephone will improve treatment adherence and attendance for follow-up review among carers of children with chronic </w:t>
      </w:r>
      <w:r>
        <w:t>conditions</w:t>
      </w:r>
      <w:r w:rsidRPr="00DA4F2D">
        <w:t>. The findings of this review will contribute to a body of knowledge to inform future policy and practice in relation to the implementation of evidence-based interventions in remote Aboriginal community contexts</w:t>
      </w:r>
      <w:r>
        <w:t xml:space="preserve"> </w:t>
      </w:r>
      <w:r w:rsidR="009B5648">
        <w:fldChar w:fldCharType="begin"/>
      </w:r>
      <w:r>
        <w:instrText xml:space="preserve"> ADDIN REFMGR.CITE &lt;Refman&gt;&lt;Cite&gt;&lt;Author&gt;Phillips&lt;/Author&gt;&lt;Year&gt;2011&lt;/Year&gt;&lt;RecNum&gt;3093&lt;/RecNum&gt;&lt;IDText&gt;The MOP UP Study Mobile Phones to Improve Untreated Perforations: a Pilot Randomised Controlled Trial&lt;/IDText&gt;&lt;MDL Ref_Type="Thesis/Dissertation"&gt;&lt;Ref_Type&gt;Thesis/Dissertation&lt;/Ref_Type&gt;&lt;Ref_ID&gt;3093&lt;/Ref_ID&gt;&lt;Title_Primary&gt;The MOP UP Study Mobile Phones to Improve Untreated Perforations: a Pilot Randomised Controlled Trial&lt;/Title_Primary&gt;&lt;Authors_Primary&gt;Phillips,J.&lt;/Authors_Primary&gt;&lt;Date_Primary&gt;2011&lt;/Date_Primary&gt;&lt;Keywords&gt;Indigenous&lt;/Keywords&gt;&lt;Keywords&gt;Health&lt;/Keywords&gt;&lt;Keywords&gt;Health Research&lt;/Keywords&gt;&lt;Keywords&gt;Research&lt;/Keywords&gt;&lt;Keywords&gt;Northern Territory&lt;/Keywords&gt;&lt;Reprint&gt;Not in File&lt;/Reprint&gt;&lt;Pub_Place&gt;Darwin, N.T.&lt;/Pub_Place&gt;&lt;Publisher&gt;Menzies School of Health Research&lt;/Publisher&gt;&lt;ZZ_WorkformID&gt;29&lt;/ZZ_WorkformID&gt;&lt;/MDL&gt;&lt;/Cite&gt;&lt;/Refman&gt;</w:instrText>
      </w:r>
      <w:r w:rsidR="009B5648">
        <w:fldChar w:fldCharType="separate"/>
      </w:r>
      <w:r>
        <w:t>[14]</w:t>
      </w:r>
      <w:r w:rsidR="009B5648">
        <w:fldChar w:fldCharType="end"/>
      </w:r>
      <w:r>
        <w:t>.</w:t>
      </w:r>
    </w:p>
    <w:p w:rsidR="00BA6265" w:rsidRPr="00DA4F2D" w:rsidRDefault="00BA6265" w:rsidP="00EA7371"/>
    <w:p w:rsidR="00BA6265" w:rsidRDefault="00BA6265" w:rsidP="00660039">
      <w:pPr>
        <w:rPr>
          <w:b/>
        </w:rPr>
      </w:pPr>
    </w:p>
    <w:p w:rsidR="00BA6265" w:rsidRDefault="00BA6265">
      <w:pPr>
        <w:rPr>
          <w:b/>
        </w:rPr>
      </w:pPr>
      <w:r>
        <w:rPr>
          <w:b/>
        </w:rPr>
        <w:br w:type="page"/>
      </w:r>
    </w:p>
    <w:p w:rsidR="00BA6265" w:rsidRPr="00DE2E57" w:rsidRDefault="00BA6265" w:rsidP="00DE2E57">
      <w:pPr>
        <w:pStyle w:val="Heading7"/>
      </w:pPr>
      <w:r w:rsidRPr="00DE2E57">
        <w:lastRenderedPageBreak/>
        <w:t>Review Objectives</w:t>
      </w:r>
    </w:p>
    <w:p w:rsidR="00BA6265" w:rsidRDefault="00BA6265" w:rsidP="00660039">
      <w:r w:rsidRPr="00DA4F2D">
        <w:t>The primary objective of this review was to determine whether</w:t>
      </w:r>
      <w:r>
        <w:t>:</w:t>
      </w:r>
      <w:r w:rsidRPr="00DA4F2D">
        <w:t xml:space="preserve"> </w:t>
      </w:r>
    </w:p>
    <w:p w:rsidR="00BA6265" w:rsidRDefault="00BA6265" w:rsidP="00660039"/>
    <w:p w:rsidR="00BA6265" w:rsidRDefault="00BA6265" w:rsidP="00B23C3C">
      <w:pPr>
        <w:tabs>
          <w:tab w:val="left" w:pos="567"/>
        </w:tabs>
        <w:ind w:left="567" w:hanging="425"/>
      </w:pPr>
      <w:r>
        <w:t xml:space="preserve">a) </w:t>
      </w:r>
      <w:r>
        <w:tab/>
        <w:t>Regular</w:t>
      </w:r>
      <w:r w:rsidRPr="00DA4F2D">
        <w:t xml:space="preserve"> text or multimedia messages sent via mobile telephone </w:t>
      </w:r>
      <w:r>
        <w:t>(</w:t>
      </w:r>
      <w:r w:rsidRPr="00DA4F2D">
        <w:t>to persons who have conditions that require daily therapy and ongoing medical follow-up</w:t>
      </w:r>
      <w:r>
        <w:t>)</w:t>
      </w:r>
      <w:r w:rsidRPr="00DA4F2D">
        <w:t xml:space="preserve"> are effective at improving </w:t>
      </w:r>
    </w:p>
    <w:p w:rsidR="00BA6265" w:rsidRDefault="00BA6265" w:rsidP="00D731F0">
      <w:pPr>
        <w:tabs>
          <w:tab w:val="left" w:pos="1134"/>
        </w:tabs>
        <w:ind w:left="1134" w:hanging="414"/>
      </w:pPr>
    </w:p>
    <w:p w:rsidR="00BA6265" w:rsidRDefault="00BA6265" w:rsidP="00D731F0">
      <w:pPr>
        <w:tabs>
          <w:tab w:val="left" w:pos="1134"/>
        </w:tabs>
        <w:ind w:left="1134" w:hanging="414"/>
      </w:pPr>
      <w:r w:rsidRPr="00DA4F2D">
        <w:t xml:space="preserve">i) </w:t>
      </w:r>
      <w:r>
        <w:tab/>
      </w:r>
      <w:r w:rsidRPr="00DA4F2D">
        <w:t xml:space="preserve">Adherence to therapy regimens; and/or </w:t>
      </w:r>
    </w:p>
    <w:p w:rsidR="00BA6265" w:rsidRPr="00DA4F2D" w:rsidRDefault="00BA6265" w:rsidP="00D731F0">
      <w:pPr>
        <w:tabs>
          <w:tab w:val="left" w:pos="1134"/>
        </w:tabs>
        <w:ind w:left="1134" w:hanging="414"/>
      </w:pPr>
      <w:r w:rsidRPr="00DA4F2D">
        <w:t xml:space="preserve">ii) </w:t>
      </w:r>
      <w:r>
        <w:tab/>
      </w:r>
      <w:r w:rsidRPr="00DA4F2D">
        <w:t>Attendance rates for follow-up care.</w:t>
      </w:r>
    </w:p>
    <w:p w:rsidR="00BA6265" w:rsidRDefault="00BA6265" w:rsidP="00660039">
      <w:pPr>
        <w:rPr>
          <w:b/>
        </w:rPr>
      </w:pPr>
    </w:p>
    <w:p w:rsidR="00BA6265" w:rsidRPr="00DE2E57" w:rsidRDefault="00BA6265" w:rsidP="00DE2E57">
      <w:pPr>
        <w:pStyle w:val="Heading6"/>
        <w:rPr>
          <w:u w:val="single"/>
        </w:rPr>
      </w:pPr>
      <w:r w:rsidRPr="00DE2E57">
        <w:rPr>
          <w:u w:val="single"/>
        </w:rPr>
        <w:t>METHODS</w:t>
      </w:r>
    </w:p>
    <w:p w:rsidR="00BA6265" w:rsidRPr="004D7FE2" w:rsidRDefault="00BA6265" w:rsidP="00660039">
      <w:r>
        <w:t xml:space="preserve">This review is reported here informed by the Preferred Reporting Items for Systematic Reviews and Meta-Analyses (PRISMA) Statement guidelines </w:t>
      </w:r>
      <w:r w:rsidR="009B5648">
        <w:fldChar w:fldCharType="begin"/>
      </w:r>
      <w:r>
        <w:instrText xml:space="preserve"> ADDIN REFMGR.CITE &lt;Refman&gt;&lt;Cite&gt;&lt;Author&gt;Office for Aboriginal and Torres Strait Islander Health&lt;/Author&gt;&lt;Year&gt;2012&lt;/Year&gt;&lt;RecNum&gt;3333&lt;/RecNum&gt;&lt;IDText&gt;Recommendations for Clinical Care Guidelines on the Management of Otitis Media in Aboriginal and Torres Strait Islander Populations: updated 2010&lt;/IDText&gt;&lt;MDL Ref_Type="Electronic Citation"&gt;&lt;Ref_Type&gt;Electronic Citation&lt;/Ref_Type&gt;&lt;Ref_ID&gt;3333&lt;/Ref_ID&gt;&lt;Title_Primary&gt;Recommendations for Clinical Care Guidelines on the Management of Otitis Media in Aboriginal and Torres Strait Islander Populations: updated 2010&lt;/Title_Primary&gt;&lt;Authors_Primary&gt;Office for Aboriginal and Torres Strait Islander Health,Australian Government Dept of Health and Ageing&lt;/Authors_Primary&gt;&lt;Date_Primary&gt;2012&lt;/Date_Primary&gt;&lt;Keywords&gt;Clinical&lt;/Keywords&gt;&lt;Keywords&gt;Guidelines&lt;/Keywords&gt;&lt;Keywords&gt;Otitis Media&lt;/Keywords&gt;&lt;Keywords&gt;Aboriginal&lt;/Keywords&gt;&lt;Keywords&gt;Torres Strait Islander&lt;/Keywords&gt;&lt;Reprint&gt;Not in File&lt;/Reprint&gt;&lt;Periodical&gt;Dept of Health and Ageing, Australian Government&lt;/Periodical&gt;&lt;Date_Secondary&gt;2013/5/14&lt;/Date_Secondary&gt;&lt;Web_URL&gt;&lt;u&gt;http://www.health.gov.au/internet/main/publishing.nsf/Content/health-oatsih-pubs-omp.htm&lt;/u&gt;&lt;/Web_URL&gt;&lt;ZZ_JournalFull&gt;&lt;f name="System"&gt;Dept of Health and Ageing, Australian Government&lt;/f&gt;&lt;/ZZ_JournalFull&gt;&lt;ZZ_WorkformID&gt;34&lt;/ZZ_WorkformID&gt;&lt;/MDL&gt;&lt;/Cite&gt;&lt;/Refman&gt;</w:instrText>
      </w:r>
      <w:r w:rsidR="009B5648">
        <w:fldChar w:fldCharType="separate"/>
      </w:r>
      <w:r>
        <w:t>[10]</w:t>
      </w:r>
      <w:r w:rsidR="009B5648">
        <w:fldChar w:fldCharType="end"/>
      </w:r>
      <w:r>
        <w:t>. A protocol was developed to inform all review criteria and processes.</w:t>
      </w:r>
    </w:p>
    <w:p w:rsidR="00BA6265" w:rsidRPr="00AF4B4D" w:rsidRDefault="00BA6265" w:rsidP="00DE2E57">
      <w:pPr>
        <w:pStyle w:val="Heading7"/>
      </w:pPr>
      <w:r w:rsidRPr="00AF4B4D">
        <w:t>Types of Studies</w:t>
      </w:r>
    </w:p>
    <w:p w:rsidR="00BA6265" w:rsidRPr="00DA4F2D" w:rsidRDefault="00BA6265" w:rsidP="00DE2E57">
      <w:r w:rsidRPr="00DA4F2D">
        <w:t>The study designs considered eligible for inclusion in this review are randomised control</w:t>
      </w:r>
      <w:r>
        <w:t>led</w:t>
      </w:r>
      <w:r w:rsidRPr="00DA4F2D">
        <w:t xml:space="preserve"> trials (RCTs) and meta-analysis.</w:t>
      </w:r>
    </w:p>
    <w:p w:rsidR="00BA6265" w:rsidRPr="00DE2E57" w:rsidRDefault="00BA6265" w:rsidP="00DE2E57">
      <w:pPr>
        <w:pStyle w:val="Heading7"/>
      </w:pPr>
      <w:r w:rsidRPr="00DE2E57">
        <w:t>Types of Participants</w:t>
      </w:r>
    </w:p>
    <w:p w:rsidR="00BA6265" w:rsidRPr="00DA4F2D" w:rsidRDefault="00BA6265" w:rsidP="00660039">
      <w:r w:rsidRPr="00DA4F2D">
        <w:t>Studies involving participants of any age who were receiving managed medical care that included daily monitoring and therapy for chronic conditions (</w:t>
      </w:r>
      <w:r>
        <w:t>for example -</w:t>
      </w:r>
      <w:r w:rsidRPr="00DA4F2D">
        <w:t xml:space="preserve"> requiring taking medication or completing a daily activity) and attendance for regular review (appointments at therapists, doctors, dentists or </w:t>
      </w:r>
      <w:r w:rsidR="00DE2E57" w:rsidRPr="00DA4F2D">
        <w:t>outpatient</w:t>
      </w:r>
      <w:r w:rsidRPr="00DA4F2D">
        <w:t xml:space="preserve"> departments).</w:t>
      </w:r>
    </w:p>
    <w:p w:rsidR="00BA6265" w:rsidRDefault="00BA6265" w:rsidP="00660039"/>
    <w:p w:rsidR="00BA6265" w:rsidRPr="00DA4F2D" w:rsidRDefault="00BA6265" w:rsidP="00660039">
      <w:r w:rsidRPr="00DA4F2D">
        <w:t>Within the broader category described above we planned to group participants into sub-groups.</w:t>
      </w:r>
    </w:p>
    <w:p w:rsidR="00BA6265" w:rsidRPr="00DA4F2D" w:rsidRDefault="00BA6265" w:rsidP="00660039"/>
    <w:p w:rsidR="00BA6265" w:rsidRPr="00DA4F2D" w:rsidRDefault="00BA6265" w:rsidP="00DE2E57">
      <w:pPr>
        <w:ind w:left="1701" w:hanging="1275"/>
      </w:pPr>
      <w:r w:rsidRPr="00DA4F2D">
        <w:t>Subgroup 1. This group include</w:t>
      </w:r>
      <w:r>
        <w:t>d</w:t>
      </w:r>
      <w:r w:rsidRPr="00DA4F2D">
        <w:t xml:space="preserve"> Indigenous and non-Indigenous persons who are identified as socially and economically disadvantaged. </w:t>
      </w:r>
    </w:p>
    <w:p w:rsidR="00BA6265" w:rsidRDefault="00BA6265" w:rsidP="00B23C3C">
      <w:pPr>
        <w:ind w:left="426"/>
      </w:pPr>
    </w:p>
    <w:p w:rsidR="00BA6265" w:rsidRDefault="00BA6265" w:rsidP="00B23C3C">
      <w:pPr>
        <w:ind w:left="426"/>
      </w:pPr>
      <w:r w:rsidRPr="00DA4F2D">
        <w:t>Subgroup 2. This group to include children aged between 0-18 years.</w:t>
      </w:r>
    </w:p>
    <w:p w:rsidR="00BA6265" w:rsidRDefault="00BA6265" w:rsidP="00DE2E57">
      <w:pPr>
        <w:pStyle w:val="Heading7"/>
      </w:pPr>
      <w:r w:rsidRPr="00AF4B4D">
        <w:t>Types of Interventions</w:t>
      </w:r>
    </w:p>
    <w:p w:rsidR="00BA6265" w:rsidRDefault="00BA6265" w:rsidP="00660039">
      <w:r>
        <w:t xml:space="preserve">We considered </w:t>
      </w:r>
      <w:r w:rsidRPr="00DA4F2D">
        <w:t>RCT</w:t>
      </w:r>
      <w:r>
        <w:t>s</w:t>
      </w:r>
      <w:r w:rsidRPr="00DA4F2D">
        <w:t xml:space="preserve"> </w:t>
      </w:r>
      <w:r>
        <w:t xml:space="preserve">of </w:t>
      </w:r>
      <w:r w:rsidRPr="00DA4F2D">
        <w:t xml:space="preserve">the following interventions eligible for inclusion: </w:t>
      </w:r>
    </w:p>
    <w:p w:rsidR="00BA6265" w:rsidRDefault="00BA6265" w:rsidP="00660039"/>
    <w:p w:rsidR="00BA6265" w:rsidRDefault="00BA6265" w:rsidP="00B23C3C">
      <w:pPr>
        <w:ind w:left="709" w:hanging="425"/>
      </w:pPr>
      <w:r>
        <w:t xml:space="preserve">a) </w:t>
      </w:r>
      <w:r>
        <w:tab/>
      </w:r>
      <w:r w:rsidRPr="00DA4F2D">
        <w:t>Regular (weekly or more frequent) SMS or MMS sent via mobile phone to promote</w:t>
      </w:r>
      <w:r>
        <w:t>:</w:t>
      </w:r>
    </w:p>
    <w:p w:rsidR="00BA6265" w:rsidRDefault="00BA6265" w:rsidP="00660039">
      <w:r w:rsidRPr="00DA4F2D">
        <w:t xml:space="preserve"> </w:t>
      </w:r>
    </w:p>
    <w:p w:rsidR="00BA6265" w:rsidRDefault="00BA6265" w:rsidP="00326A8F">
      <w:pPr>
        <w:tabs>
          <w:tab w:val="left" w:pos="1276"/>
        </w:tabs>
        <w:ind w:left="1276" w:hanging="556"/>
      </w:pPr>
      <w:r w:rsidRPr="00DA4F2D">
        <w:t xml:space="preserve">i) </w:t>
      </w:r>
      <w:r>
        <w:tab/>
      </w:r>
      <w:r w:rsidRPr="00DA4F2D">
        <w:t xml:space="preserve">Adherence (for example, taking medication and/or completion of an activity </w:t>
      </w:r>
      <w:r>
        <w:t xml:space="preserve">like </w:t>
      </w:r>
      <w:r w:rsidRPr="00DA4F2D">
        <w:t xml:space="preserve">monitoring, therapy or treatment); and </w:t>
      </w:r>
    </w:p>
    <w:p w:rsidR="00BA6265" w:rsidRPr="00DA4F2D" w:rsidRDefault="00BA6265" w:rsidP="00326A8F">
      <w:pPr>
        <w:tabs>
          <w:tab w:val="left" w:pos="1276"/>
        </w:tabs>
        <w:ind w:left="1276" w:hanging="556"/>
        <w:rPr>
          <w:i/>
        </w:rPr>
      </w:pPr>
      <w:r w:rsidRPr="00DA4F2D">
        <w:t>ii)</w:t>
      </w:r>
      <w:r>
        <w:tab/>
      </w:r>
      <w:r w:rsidRPr="00DA4F2D">
        <w:t xml:space="preserve">Regular attendance for medical appointments. </w:t>
      </w:r>
    </w:p>
    <w:p w:rsidR="00BA6265" w:rsidRPr="00DA4F2D" w:rsidRDefault="00BA6265" w:rsidP="00660039"/>
    <w:p w:rsidR="00BA6265" w:rsidRDefault="00BA6265" w:rsidP="00660039">
      <w:r>
        <w:t>We excluded i</w:t>
      </w:r>
      <w:r w:rsidRPr="00DA4F2D">
        <w:t>nterventions with these characteristics:</w:t>
      </w:r>
    </w:p>
    <w:p w:rsidR="00BA6265" w:rsidRPr="00DA4F2D" w:rsidRDefault="00BA6265" w:rsidP="00C25113">
      <w:pPr>
        <w:numPr>
          <w:ilvl w:val="0"/>
          <w:numId w:val="7"/>
        </w:numPr>
        <w:tabs>
          <w:tab w:val="clear" w:pos="357"/>
          <w:tab w:val="num" w:pos="1276"/>
        </w:tabs>
        <w:spacing w:before="240"/>
        <w:ind w:left="1276" w:hanging="567"/>
      </w:pPr>
      <w:r>
        <w:t>R</w:t>
      </w:r>
      <w:r w:rsidRPr="00DA4F2D">
        <w:t>eminder or motivational text</w:t>
      </w:r>
      <w:r>
        <w:t xml:space="preserve"> promoting:</w:t>
      </w:r>
      <w:r w:rsidRPr="00DA4F2D">
        <w:t xml:space="preserve"> </w:t>
      </w:r>
      <w:r>
        <w:t>i) the adoption of healthy lifestyle behaviours, for example,</w:t>
      </w:r>
      <w:r w:rsidRPr="00DA4F2D">
        <w:t xml:space="preserve"> smoking cessation, weight loss, </w:t>
      </w:r>
      <w:r>
        <w:t xml:space="preserve">safe </w:t>
      </w:r>
      <w:r w:rsidRPr="00DA4F2D">
        <w:t xml:space="preserve">sex, </w:t>
      </w:r>
      <w:r>
        <w:t xml:space="preserve">increasing </w:t>
      </w:r>
      <w:r w:rsidRPr="00DA4F2D">
        <w:t>physical activity,</w:t>
      </w:r>
      <w:r>
        <w:t xml:space="preserve"> and</w:t>
      </w:r>
      <w:r w:rsidRPr="00DA4F2D">
        <w:t xml:space="preserve"> use of sun screen</w:t>
      </w:r>
      <w:r>
        <w:t xml:space="preserve">; ii) uptake of universal public health programs, for example, </w:t>
      </w:r>
      <w:r w:rsidRPr="00DA4F2D">
        <w:t>immunization</w:t>
      </w:r>
      <w:r>
        <w:t xml:space="preserve"> and </w:t>
      </w:r>
      <w:r w:rsidRPr="00DA4F2D">
        <w:t>mammography</w:t>
      </w:r>
      <w:r>
        <w:t xml:space="preserve"> screening; and iii)</w:t>
      </w:r>
      <w:r w:rsidRPr="00DA4F2D">
        <w:t xml:space="preserve"> attendance for a single appointment; and</w:t>
      </w:r>
    </w:p>
    <w:p w:rsidR="00BA6265" w:rsidRPr="00DA4F2D" w:rsidRDefault="00BA6265" w:rsidP="00C25113">
      <w:pPr>
        <w:numPr>
          <w:ilvl w:val="0"/>
          <w:numId w:val="7"/>
        </w:numPr>
        <w:tabs>
          <w:tab w:val="clear" w:pos="357"/>
          <w:tab w:val="num" w:pos="1276"/>
        </w:tabs>
        <w:spacing w:before="240"/>
        <w:ind w:left="1276" w:hanging="567"/>
      </w:pPr>
      <w:r>
        <w:t>T</w:t>
      </w:r>
      <w:r w:rsidRPr="00DA4F2D">
        <w:t>ext messaging that required a response from participants.</w:t>
      </w:r>
      <w:r>
        <w:t xml:space="preserve"> This was excluded on the grounds of reducing tasks that might be perceived as onerous by carers, cause cost to carers, and to take account of variable levels of English literacy.</w:t>
      </w:r>
    </w:p>
    <w:p w:rsidR="00BA6265" w:rsidRDefault="00BA6265" w:rsidP="00DE2E57">
      <w:pPr>
        <w:pStyle w:val="Heading7"/>
      </w:pPr>
      <w:r w:rsidRPr="00AF4B4D">
        <w:lastRenderedPageBreak/>
        <w:t>Types of Outcome Measures</w:t>
      </w:r>
    </w:p>
    <w:p w:rsidR="00BA6265" w:rsidRDefault="00BA6265" w:rsidP="00660039">
      <w:r w:rsidRPr="00DA4F2D">
        <w:t xml:space="preserve">The primary outcome measures of interest included the proportion of participants with improved rates of: </w:t>
      </w:r>
    </w:p>
    <w:p w:rsidR="00BA6265" w:rsidRDefault="00BA6265" w:rsidP="00660039"/>
    <w:p w:rsidR="00BA6265" w:rsidRDefault="00BA6265" w:rsidP="00FC18C9">
      <w:pPr>
        <w:pStyle w:val="ListParagraph"/>
        <w:numPr>
          <w:ilvl w:val="0"/>
          <w:numId w:val="12"/>
        </w:numPr>
      </w:pPr>
      <w:r>
        <w:t>T</w:t>
      </w:r>
      <w:r w:rsidRPr="00DA4F2D">
        <w:t xml:space="preserve">reatment adherence; and </w:t>
      </w:r>
    </w:p>
    <w:p w:rsidR="00BA6265" w:rsidRPr="00DA4F2D" w:rsidRDefault="00BA6265" w:rsidP="00FC18C9">
      <w:pPr>
        <w:pStyle w:val="ListParagraph"/>
        <w:numPr>
          <w:ilvl w:val="0"/>
          <w:numId w:val="12"/>
        </w:numPr>
      </w:pPr>
      <w:r>
        <w:t>A</w:t>
      </w:r>
      <w:r w:rsidRPr="00DA4F2D">
        <w:t>ttendance for follow-up medical appointments.</w:t>
      </w:r>
    </w:p>
    <w:p w:rsidR="00BA6265" w:rsidRPr="00DA4F2D" w:rsidRDefault="00BA6265" w:rsidP="00660039"/>
    <w:p w:rsidR="00BA6265" w:rsidRDefault="00BA6265" w:rsidP="00660039">
      <w:r w:rsidRPr="00DA4F2D">
        <w:t>The secondary outcome measure of interest was</w:t>
      </w:r>
      <w:r>
        <w:t>:</w:t>
      </w:r>
    </w:p>
    <w:p w:rsidR="00BA6265" w:rsidRDefault="00BA6265" w:rsidP="00660039"/>
    <w:p w:rsidR="00BA6265" w:rsidRPr="00DA4F2D" w:rsidRDefault="00BA6265" w:rsidP="00FC18C9">
      <w:pPr>
        <w:pStyle w:val="ListParagraph"/>
        <w:numPr>
          <w:ilvl w:val="0"/>
          <w:numId w:val="14"/>
        </w:numPr>
        <w:tabs>
          <w:tab w:val="left" w:pos="1560"/>
        </w:tabs>
      </w:pPr>
      <w:r>
        <w:t>A</w:t>
      </w:r>
      <w:r w:rsidRPr="00DA4F2D">
        <w:t>ny marker (</w:t>
      </w:r>
      <w:r>
        <w:t xml:space="preserve">including </w:t>
      </w:r>
      <w:r w:rsidRPr="00DA4F2D">
        <w:t>more sensitive continuous variable</w:t>
      </w:r>
      <w:r>
        <w:t>s</w:t>
      </w:r>
      <w:r w:rsidRPr="00DA4F2D">
        <w:t>) that indicates an improvement in health status, for example –blood sugar level.</w:t>
      </w:r>
    </w:p>
    <w:p w:rsidR="00BA6265" w:rsidRPr="00DA4F2D" w:rsidRDefault="00BA6265" w:rsidP="00660039"/>
    <w:p w:rsidR="00BA6265" w:rsidRDefault="00BA6265" w:rsidP="00660039">
      <w:r>
        <w:t>We considered s</w:t>
      </w:r>
      <w:r w:rsidRPr="00DA4F2D">
        <w:t>atisfactory adherence to be:</w:t>
      </w:r>
    </w:p>
    <w:p w:rsidR="00BA6265" w:rsidRDefault="00BA6265" w:rsidP="00660039"/>
    <w:p w:rsidR="00BA6265" w:rsidRDefault="00BA6265" w:rsidP="00C25113">
      <w:pPr>
        <w:tabs>
          <w:tab w:val="left" w:pos="1418"/>
        </w:tabs>
        <w:ind w:left="1418" w:hanging="638"/>
      </w:pPr>
      <w:r w:rsidRPr="00DA4F2D">
        <w:t xml:space="preserve">i) </w:t>
      </w:r>
      <w:r>
        <w:tab/>
        <w:t>T</w:t>
      </w:r>
      <w:r w:rsidRPr="00DA4F2D">
        <w:t>he delivery of 80% of the prescribed treatment (for example</w:t>
      </w:r>
      <w:r>
        <w:t xml:space="preserve"> -</w:t>
      </w:r>
      <w:r w:rsidRPr="00DA4F2D">
        <w:t xml:space="preserve"> medication, physical therapy, wound care) on 80% of the occasions for which the treatment is prescribed; and ii) attendance for follow-up </w:t>
      </w:r>
      <w:r>
        <w:t xml:space="preserve">of </w:t>
      </w:r>
      <w:r w:rsidRPr="00DA4F2D">
        <w:t>appointments is 80% or more.</w:t>
      </w:r>
    </w:p>
    <w:p w:rsidR="00BA6265" w:rsidRPr="007349C9" w:rsidRDefault="00BA6265" w:rsidP="007349C9">
      <w:pPr>
        <w:pStyle w:val="Heading7"/>
      </w:pPr>
      <w:r w:rsidRPr="007349C9">
        <w:t>Search methods for identification of studies</w:t>
      </w:r>
    </w:p>
    <w:p w:rsidR="00BA6265" w:rsidRPr="00DA4F2D" w:rsidRDefault="00BA6265" w:rsidP="00660039">
      <w:r w:rsidRPr="00DA4F2D">
        <w:t xml:space="preserve">Studies published from 1 January 1999 to 11 November 2012 were eligible for inclusion. </w:t>
      </w:r>
    </w:p>
    <w:p w:rsidR="00BA6265" w:rsidRPr="00DA4F2D" w:rsidRDefault="00BA6265" w:rsidP="00660039"/>
    <w:p w:rsidR="00BA6265" w:rsidRPr="00DA4F2D" w:rsidRDefault="00BA6265" w:rsidP="00660039">
      <w:r w:rsidRPr="00DA4F2D">
        <w:t xml:space="preserve">The electronic data base search included Medline via </w:t>
      </w:r>
      <w:proofErr w:type="spellStart"/>
      <w:r w:rsidRPr="00DA4F2D">
        <w:t>Pubmed</w:t>
      </w:r>
      <w:proofErr w:type="spellEnd"/>
      <w:r w:rsidRPr="00DA4F2D">
        <w:t xml:space="preserve">, </w:t>
      </w:r>
      <w:proofErr w:type="spellStart"/>
      <w:r w:rsidRPr="00DA4F2D">
        <w:t>Embase</w:t>
      </w:r>
      <w:proofErr w:type="spellEnd"/>
      <w:r w:rsidRPr="00DA4F2D">
        <w:t xml:space="preserve">, </w:t>
      </w:r>
      <w:proofErr w:type="spellStart"/>
      <w:r w:rsidRPr="00DA4F2D">
        <w:t>PsychINFO</w:t>
      </w:r>
      <w:proofErr w:type="spellEnd"/>
      <w:r w:rsidRPr="00DA4F2D">
        <w:t xml:space="preserve">, ERIS, Web of Science, </w:t>
      </w:r>
      <w:proofErr w:type="spellStart"/>
      <w:r w:rsidRPr="00DA4F2D">
        <w:t>Cinahl</w:t>
      </w:r>
      <w:proofErr w:type="spellEnd"/>
      <w:r w:rsidRPr="00DA4F2D">
        <w:t xml:space="preserve">, and the Cochrane Library and Trials Register. </w:t>
      </w:r>
    </w:p>
    <w:p w:rsidR="00BA6265" w:rsidRPr="00DA4F2D" w:rsidRDefault="00BA6265" w:rsidP="00660039"/>
    <w:p w:rsidR="00BA6265" w:rsidRPr="00DA4F2D" w:rsidRDefault="00BA6265" w:rsidP="00660039">
      <w:r w:rsidRPr="00DA4F2D">
        <w:t xml:space="preserve">The following search terms and fields were used to search Medline via </w:t>
      </w:r>
      <w:proofErr w:type="spellStart"/>
      <w:r w:rsidRPr="00DA4F2D">
        <w:t>Pubmed</w:t>
      </w:r>
      <w:proofErr w:type="spellEnd"/>
      <w:r w:rsidRPr="00DA4F2D">
        <w:t>. These terms were adapted to search the other electronic databases</w:t>
      </w:r>
      <w:r>
        <w:t>.</w:t>
      </w:r>
    </w:p>
    <w:p w:rsidR="00BA6265" w:rsidRPr="00DA4F2D" w:rsidRDefault="00BA6265" w:rsidP="00660039"/>
    <w:p w:rsidR="00BA6265" w:rsidRPr="00DA4F2D" w:rsidRDefault="00BA6265" w:rsidP="00660039">
      <w:r w:rsidRPr="00DA4F2D">
        <w:t>("Cellular Phone"[</w:t>
      </w:r>
      <w:proofErr w:type="spellStart"/>
      <w:r w:rsidRPr="00DA4F2D">
        <w:t>Majr</w:t>
      </w:r>
      <w:proofErr w:type="spellEnd"/>
      <w:r w:rsidRPr="00DA4F2D">
        <w:t>] OR "Text Messaging"[</w:t>
      </w:r>
      <w:proofErr w:type="spellStart"/>
      <w:r w:rsidRPr="00DA4F2D">
        <w:t>Majr</w:t>
      </w:r>
      <w:proofErr w:type="spellEnd"/>
      <w:r w:rsidRPr="00DA4F2D">
        <w:t>] OR ("multimedia"[</w:t>
      </w:r>
      <w:proofErr w:type="spellStart"/>
      <w:r w:rsidRPr="00DA4F2D">
        <w:t>MeSH</w:t>
      </w:r>
      <w:proofErr w:type="spellEnd"/>
      <w:r w:rsidRPr="00DA4F2D">
        <w:t xml:space="preserve"> Terms] OR "multimedia"[All Fields]) OR ("text messaging"[</w:t>
      </w:r>
      <w:proofErr w:type="spellStart"/>
      <w:r w:rsidRPr="00DA4F2D">
        <w:t>MeSH</w:t>
      </w:r>
      <w:proofErr w:type="spellEnd"/>
      <w:r w:rsidRPr="00DA4F2D">
        <w:t xml:space="preserve"> Terms] OR ("Cellular Phone"[</w:t>
      </w:r>
      <w:proofErr w:type="spellStart"/>
      <w:r w:rsidRPr="00DA4F2D">
        <w:t>Majr</w:t>
      </w:r>
      <w:proofErr w:type="spellEnd"/>
      <w:r w:rsidRPr="00DA4F2D">
        <w:t>] OR "Text Messaging"[</w:t>
      </w:r>
      <w:proofErr w:type="spellStart"/>
      <w:r w:rsidRPr="00DA4F2D">
        <w:t>Majr</w:t>
      </w:r>
      <w:proofErr w:type="spellEnd"/>
      <w:r w:rsidRPr="00DA4F2D">
        <w:t>] OR ("multimedia"[</w:t>
      </w:r>
      <w:proofErr w:type="spellStart"/>
      <w:r w:rsidRPr="00DA4F2D">
        <w:t>MeSH</w:t>
      </w:r>
      <w:proofErr w:type="spellEnd"/>
      <w:r w:rsidRPr="00DA4F2D">
        <w:t xml:space="preserve"> Terms] OR "multimedia"[All Fields]) OR ("text messaging"[</w:t>
      </w:r>
      <w:proofErr w:type="spellStart"/>
      <w:r w:rsidRPr="00DA4F2D">
        <w:t>MeSH</w:t>
      </w:r>
      <w:proofErr w:type="spellEnd"/>
      <w:r w:rsidRPr="00DA4F2D">
        <w:t xml:space="preserve"> Terms] OR ("text"[All Fields] AND "messaging"[All Fields]) OR "text messaging"[All Fields]) OR "Short Message Service"[All Fields]) AND ("Reminder Systems"[Mesh] OR "social support"[</w:t>
      </w:r>
      <w:proofErr w:type="spellStart"/>
      <w:r w:rsidRPr="00DA4F2D">
        <w:t>MeSH</w:t>
      </w:r>
      <w:proofErr w:type="spellEnd"/>
      <w:r w:rsidRPr="00DA4F2D">
        <w:t xml:space="preserve"> Terms] OR "Health Promotion"[Mesh] OR ((("health education"[</w:t>
      </w:r>
      <w:proofErr w:type="spellStart"/>
      <w:r w:rsidRPr="00DA4F2D">
        <w:t>MeSH</w:t>
      </w:r>
      <w:proofErr w:type="spellEnd"/>
      <w:r w:rsidRPr="00DA4F2D">
        <w:t xml:space="preserve"> Terms] OR ("health"[All Fields] AND "education"[All Fields]) OR "health education"[All Fields]) AND ("medical subject headings"[</w:t>
      </w:r>
      <w:proofErr w:type="spellStart"/>
      <w:r w:rsidRPr="00DA4F2D">
        <w:t>MeSH</w:t>
      </w:r>
      <w:proofErr w:type="spellEnd"/>
      <w:r w:rsidRPr="00DA4F2D">
        <w:t xml:space="preserve"> Terms] OR ("medical"[All Fields] AND "subject"[All Fields] AND "headings"[All Fields]) OR "medical subject headings"[All Fields] OR "mesh"[All Fields])) AND "patient compliance"[</w:t>
      </w:r>
      <w:proofErr w:type="spellStart"/>
      <w:r w:rsidRPr="00DA4F2D">
        <w:t>MeSH</w:t>
      </w:r>
      <w:proofErr w:type="spellEnd"/>
      <w:r w:rsidRPr="00DA4F2D">
        <w:t xml:space="preserve"> Terms])) ("text"[All Fields] AND "messaging"[All Fields]) OR "text messaging"[All Fields]) OR "Short Message Service"[All Fields]) AND ("Reminder Systems"[Mesh] OR "social support"[</w:t>
      </w:r>
      <w:proofErr w:type="spellStart"/>
      <w:r w:rsidRPr="00DA4F2D">
        <w:t>MeSH</w:t>
      </w:r>
      <w:proofErr w:type="spellEnd"/>
      <w:r w:rsidRPr="00DA4F2D">
        <w:t xml:space="preserve"> Terms] OR "Health Promotion"[Mesh] OR ((("health education"[</w:t>
      </w:r>
      <w:proofErr w:type="spellStart"/>
      <w:r w:rsidRPr="00DA4F2D">
        <w:t>MeSH</w:t>
      </w:r>
      <w:proofErr w:type="spellEnd"/>
      <w:r w:rsidRPr="00DA4F2D">
        <w:t xml:space="preserve"> Terms] OR ("health"[All Fields] AND "education"[All Fields]) OR "health education"[All Fields]) AND ("medical subject headings"[</w:t>
      </w:r>
      <w:proofErr w:type="spellStart"/>
      <w:r w:rsidRPr="00DA4F2D">
        <w:t>MeSH</w:t>
      </w:r>
      <w:proofErr w:type="spellEnd"/>
      <w:r w:rsidRPr="00DA4F2D">
        <w:t xml:space="preserve"> Terms] OR ("medical"[All Fields] AND "subject"[All Fields] AND "headings"[All Fields]) OR "medical subject headings"[All Fields] OR "mesh"[All Fields])) AND "patient compliance"[</w:t>
      </w:r>
      <w:proofErr w:type="spellStart"/>
      <w:r w:rsidRPr="00DA4F2D">
        <w:t>MeSH</w:t>
      </w:r>
      <w:proofErr w:type="spellEnd"/>
      <w:r w:rsidRPr="00DA4F2D">
        <w:t xml:space="preserve"> Terms]))</w:t>
      </w:r>
    </w:p>
    <w:p w:rsidR="00BA6265" w:rsidRPr="00DA4F2D" w:rsidRDefault="00BA6265" w:rsidP="00660039"/>
    <w:p w:rsidR="00DE2E57" w:rsidRDefault="00BA6265" w:rsidP="00660039">
      <w:r w:rsidRPr="00DA4F2D">
        <w:t>Hand searching included screening the reference lists of studies id</w:t>
      </w:r>
      <w:r>
        <w:t>entified eligible for inclusion and more general searching of the grey literature.</w:t>
      </w:r>
    </w:p>
    <w:p w:rsidR="00DE2E57" w:rsidRDefault="00DE2E57">
      <w:pPr>
        <w:jc w:val="left"/>
      </w:pPr>
      <w:r>
        <w:br w:type="page"/>
      </w:r>
    </w:p>
    <w:p w:rsidR="00BA6265" w:rsidRPr="007349C9" w:rsidRDefault="00BA6265" w:rsidP="007349C9">
      <w:pPr>
        <w:pStyle w:val="Heading7"/>
      </w:pPr>
      <w:r w:rsidRPr="007349C9">
        <w:lastRenderedPageBreak/>
        <w:t>Selection of studies</w:t>
      </w:r>
    </w:p>
    <w:p w:rsidR="00BA6265" w:rsidRPr="00DA4F2D" w:rsidRDefault="00BA6265" w:rsidP="00660039">
      <w:r>
        <w:t>One reviewer completed the study selection process guided by rules set down in the protocol. E</w:t>
      </w:r>
      <w:r w:rsidRPr="00DA4F2D">
        <w:t>ligible studies were identif</w:t>
      </w:r>
      <w:r>
        <w:t>ied according to the following steps</w:t>
      </w:r>
      <w:r w:rsidRPr="00DA4F2D">
        <w:t>.</w:t>
      </w:r>
    </w:p>
    <w:p w:rsidR="00BA6265" w:rsidRDefault="00BA6265" w:rsidP="00660039"/>
    <w:p w:rsidR="00BA6265" w:rsidRPr="00B23C3C" w:rsidRDefault="00BA6265" w:rsidP="00660039">
      <w:pPr>
        <w:rPr>
          <w:i/>
        </w:rPr>
      </w:pPr>
      <w:r w:rsidRPr="00B23C3C">
        <w:rPr>
          <w:i/>
        </w:rPr>
        <w:t>Step 1. Scanning of titles</w:t>
      </w:r>
    </w:p>
    <w:p w:rsidR="00BA6265" w:rsidRPr="00DA4F2D" w:rsidRDefault="00BA6265" w:rsidP="00660039">
      <w:r w:rsidRPr="00DA4F2D">
        <w:t>Lists are available of the papers considered not eligible for Step 2 review.</w:t>
      </w:r>
    </w:p>
    <w:p w:rsidR="00BA6265" w:rsidRPr="00DA4F2D" w:rsidRDefault="00BA6265" w:rsidP="00660039"/>
    <w:p w:rsidR="00BA6265" w:rsidRPr="00B23C3C" w:rsidRDefault="00BA6265" w:rsidP="00660039">
      <w:pPr>
        <w:rPr>
          <w:i/>
        </w:rPr>
      </w:pPr>
      <w:r w:rsidRPr="00B23C3C">
        <w:rPr>
          <w:i/>
        </w:rPr>
        <w:t>Step 2. Review of abstracts</w:t>
      </w:r>
    </w:p>
    <w:p w:rsidR="00BA6265" w:rsidRDefault="00BA6265" w:rsidP="00660039"/>
    <w:p w:rsidR="00BA6265" w:rsidRPr="00DA4F2D" w:rsidRDefault="00BA6265" w:rsidP="00660039">
      <w:r w:rsidRPr="00DA4F2D">
        <w:t>The abstracts of the titles were reviewed in accordance with th</w:t>
      </w:r>
      <w:r>
        <w:t>e</w:t>
      </w:r>
      <w:r w:rsidRPr="00DA4F2D">
        <w:t xml:space="preserve"> review’s eligibility criteria. A record of papers considered not eligible for full text review</w:t>
      </w:r>
      <w:r w:rsidRPr="00F10718">
        <w:t xml:space="preserve"> </w:t>
      </w:r>
      <w:r w:rsidRPr="00DA4F2D">
        <w:t>is available.</w:t>
      </w:r>
    </w:p>
    <w:p w:rsidR="00BA6265" w:rsidRPr="00DA4F2D" w:rsidRDefault="00BA6265" w:rsidP="00660039"/>
    <w:p w:rsidR="00BA6265" w:rsidRPr="00B23C3C" w:rsidRDefault="00BA6265" w:rsidP="00660039">
      <w:pPr>
        <w:rPr>
          <w:i/>
        </w:rPr>
      </w:pPr>
      <w:r w:rsidRPr="00B23C3C">
        <w:rPr>
          <w:i/>
        </w:rPr>
        <w:t>Step 3. Review of full text</w:t>
      </w:r>
    </w:p>
    <w:p w:rsidR="00BA6265" w:rsidRDefault="00BA6265" w:rsidP="00660039">
      <w:r w:rsidRPr="00DA4F2D">
        <w:t xml:space="preserve">Data was extracted using a standardised data collection form. A record is available of all studies considered not eligible </w:t>
      </w:r>
      <w:r>
        <w:t xml:space="preserve">with </w:t>
      </w:r>
      <w:r w:rsidRPr="00DA4F2D">
        <w:t>the reasons for exclusion clearly stated (</w:t>
      </w:r>
      <w:r>
        <w:t>Appendix 1- Table 1)</w:t>
      </w:r>
      <w:r w:rsidRPr="00DA4F2D">
        <w:t>.</w:t>
      </w:r>
    </w:p>
    <w:p w:rsidR="00BA6265" w:rsidRPr="007349C9" w:rsidRDefault="00BA6265" w:rsidP="007349C9">
      <w:pPr>
        <w:pStyle w:val="Heading7"/>
      </w:pPr>
      <w:r w:rsidRPr="007349C9">
        <w:t>Quality assessment rating</w:t>
      </w:r>
    </w:p>
    <w:p w:rsidR="00BA6265" w:rsidRDefault="00BA6265" w:rsidP="0009221A">
      <w:r w:rsidRPr="00DA4F2D">
        <w:t xml:space="preserve">Eight criteria were used to assess and score the </w:t>
      </w:r>
      <w:r>
        <w:t xml:space="preserve">risk of bias </w:t>
      </w:r>
      <w:r w:rsidRPr="00DA4F2D">
        <w:t>of individual studies including: randomisation; concealment of allocation; use</w:t>
      </w:r>
      <w:r>
        <w:t xml:space="preserve"> of</w:t>
      </w:r>
      <w:r w:rsidRPr="00DA4F2D">
        <w:t xml:space="preserve"> appropriate controls; intention-to-treat analysis; blinded assessment of primary outcome; baseline measurement; reliable primary outcome measure; protection against contamination. These indicators were rated as not done, done, or unclear. Next, the studies were categorised according to their quality assessment rating</w:t>
      </w:r>
      <w:r>
        <w:t xml:space="preserve"> (Table 1</w:t>
      </w:r>
      <w:r w:rsidRPr="00DA4F2D">
        <w:t>).</w:t>
      </w:r>
    </w:p>
    <w:p w:rsidR="00BA6265" w:rsidRDefault="00BA6265" w:rsidP="00DE2E57">
      <w:pPr>
        <w:pStyle w:val="Heading6"/>
        <w:spacing w:after="0"/>
        <w:rPr>
          <w:caps/>
        </w:rPr>
      </w:pPr>
      <w:bookmarkStart w:id="2" w:name="_Ref327019693"/>
      <w:proofErr w:type="gramStart"/>
      <w:r w:rsidRPr="0034395B">
        <w:t>Table</w:t>
      </w:r>
      <w:bookmarkEnd w:id="2"/>
      <w:r w:rsidRPr="0034395B">
        <w:t xml:space="preserve"> 1</w:t>
      </w:r>
      <w:r>
        <w:t>.</w:t>
      </w:r>
      <w:proofErr w:type="gramEnd"/>
      <w:r>
        <w:t xml:space="preserve">  </w:t>
      </w:r>
      <w:r w:rsidRPr="0034395B">
        <w:t>Level of evidence and associated risk of bias rating score</w:t>
      </w:r>
    </w:p>
    <w:p w:rsidR="00BA6265" w:rsidRPr="00B23C3C" w:rsidRDefault="00BA6265" w:rsidP="00B23C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081"/>
      </w:tblGrid>
      <w:tr w:rsidR="00BA6265" w:rsidRPr="00DA4F2D" w:rsidTr="006F6984">
        <w:tc>
          <w:tcPr>
            <w:tcW w:w="2808" w:type="dxa"/>
            <w:vAlign w:val="center"/>
          </w:tcPr>
          <w:p w:rsidR="00BA6265" w:rsidRPr="005F1A08" w:rsidRDefault="00BA6265" w:rsidP="00DE2E57">
            <w:pPr>
              <w:pStyle w:val="Heading7"/>
            </w:pPr>
            <w:r w:rsidRPr="005F1A08">
              <w:t>Risk of Bias Rating</w:t>
            </w:r>
          </w:p>
        </w:tc>
        <w:tc>
          <w:tcPr>
            <w:tcW w:w="7081" w:type="dxa"/>
            <w:vAlign w:val="center"/>
          </w:tcPr>
          <w:p w:rsidR="00BA6265" w:rsidRPr="005F1A08" w:rsidRDefault="00BA6265" w:rsidP="00DE2E57">
            <w:pPr>
              <w:pStyle w:val="Heading7"/>
            </w:pPr>
            <w:r w:rsidRPr="005F1A08">
              <w:t xml:space="preserve">Evidence Category </w:t>
            </w:r>
          </w:p>
        </w:tc>
      </w:tr>
      <w:tr w:rsidR="00BA6265" w:rsidRPr="00DA4F2D" w:rsidTr="006F6984">
        <w:tc>
          <w:tcPr>
            <w:tcW w:w="2808" w:type="dxa"/>
            <w:vAlign w:val="center"/>
          </w:tcPr>
          <w:p w:rsidR="00BA6265" w:rsidRPr="00DA4F2D" w:rsidRDefault="00BA6265" w:rsidP="00660039">
            <w:pPr>
              <w:keepNext/>
            </w:pPr>
            <w:r w:rsidRPr="00DA4F2D">
              <w:t xml:space="preserve">Five of the six criteria rated as </w:t>
            </w:r>
            <w:r>
              <w:t>low risk of bias</w:t>
            </w:r>
            <w:r w:rsidRPr="00DA4F2D">
              <w:t>.</w:t>
            </w:r>
          </w:p>
        </w:tc>
        <w:tc>
          <w:tcPr>
            <w:tcW w:w="7081" w:type="dxa"/>
            <w:vAlign w:val="center"/>
          </w:tcPr>
          <w:p w:rsidR="00BA6265" w:rsidRPr="00DA4F2D" w:rsidRDefault="00BA6265" w:rsidP="00660039">
            <w:pPr>
              <w:keepNext/>
            </w:pPr>
            <w:r w:rsidRPr="00DA4F2D">
              <w:t>Clear evidence of benefit.</w:t>
            </w:r>
          </w:p>
          <w:p w:rsidR="00BA6265" w:rsidRPr="00DA4F2D" w:rsidRDefault="00BA6265" w:rsidP="00660039">
            <w:pPr>
              <w:keepNext/>
            </w:pPr>
          </w:p>
        </w:tc>
      </w:tr>
      <w:tr w:rsidR="00BA6265" w:rsidRPr="00DA4F2D" w:rsidTr="006F6984">
        <w:tc>
          <w:tcPr>
            <w:tcW w:w="2808" w:type="dxa"/>
            <w:vAlign w:val="center"/>
          </w:tcPr>
          <w:p w:rsidR="00BA6265" w:rsidRPr="00DA4F2D" w:rsidRDefault="00BA6265" w:rsidP="00660039">
            <w:pPr>
              <w:keepNext/>
            </w:pPr>
            <w:r w:rsidRPr="00DA4F2D">
              <w:t xml:space="preserve">Three or four criteria rated as </w:t>
            </w:r>
            <w:r>
              <w:t>low risk of bias</w:t>
            </w:r>
            <w:r w:rsidRPr="00DA4F2D">
              <w:t>.</w:t>
            </w:r>
          </w:p>
        </w:tc>
        <w:tc>
          <w:tcPr>
            <w:tcW w:w="7081" w:type="dxa"/>
            <w:vAlign w:val="center"/>
          </w:tcPr>
          <w:p w:rsidR="00BA6265" w:rsidRPr="00DA4F2D" w:rsidRDefault="00BA6265" w:rsidP="00660039">
            <w:pPr>
              <w:keepNext/>
            </w:pPr>
            <w:r w:rsidRPr="00DA4F2D">
              <w:t>Some evidence of benefit.</w:t>
            </w:r>
          </w:p>
        </w:tc>
      </w:tr>
      <w:tr w:rsidR="00BA6265" w:rsidRPr="00DA4F2D" w:rsidTr="006F6984">
        <w:tc>
          <w:tcPr>
            <w:tcW w:w="2808" w:type="dxa"/>
            <w:vAlign w:val="center"/>
          </w:tcPr>
          <w:p w:rsidR="00BA6265" w:rsidRPr="00DA4F2D" w:rsidRDefault="00BA6265" w:rsidP="00660039">
            <w:pPr>
              <w:keepNext/>
            </w:pPr>
            <w:r w:rsidRPr="00DA4F2D">
              <w:t xml:space="preserve">A study showing a positive outcome or no effect with less than three criteria rated as </w:t>
            </w:r>
            <w:r>
              <w:t>low risk of bias</w:t>
            </w:r>
            <w:r w:rsidRPr="00DA4F2D">
              <w:t>.</w:t>
            </w:r>
          </w:p>
        </w:tc>
        <w:tc>
          <w:tcPr>
            <w:tcW w:w="7081" w:type="dxa"/>
            <w:vAlign w:val="center"/>
          </w:tcPr>
          <w:p w:rsidR="00BA6265" w:rsidRPr="00DA4F2D" w:rsidRDefault="00BA6265" w:rsidP="00660039">
            <w:pPr>
              <w:keepNext/>
            </w:pPr>
            <w:r w:rsidRPr="00DA4F2D">
              <w:t>This rating includes two categories:</w:t>
            </w:r>
          </w:p>
          <w:p w:rsidR="00BA6265" w:rsidRPr="00DA4F2D" w:rsidRDefault="00BA6265" w:rsidP="00660039">
            <w:pPr>
              <w:keepNext/>
            </w:pPr>
            <w:r w:rsidRPr="00DA4F2D">
              <w:t xml:space="preserve">1. No evidence of benefit (or harm) and methodological concerns. (A study shows no or negative effect and the study design is weak.) </w:t>
            </w:r>
          </w:p>
          <w:p w:rsidR="00BA6265" w:rsidRPr="00DA4F2D" w:rsidRDefault="00BA6265" w:rsidP="00660039">
            <w:pPr>
              <w:keepNext/>
            </w:pPr>
            <w:r w:rsidRPr="00DA4F2D">
              <w:t>2. No clear evidence of benefit (or harm) due to methodological concerns. (A study reports some effect but the study design is weak.)</w:t>
            </w:r>
          </w:p>
        </w:tc>
      </w:tr>
      <w:tr w:rsidR="00BA6265" w:rsidRPr="00DA4F2D" w:rsidTr="006F6984">
        <w:tc>
          <w:tcPr>
            <w:tcW w:w="2808" w:type="dxa"/>
            <w:vAlign w:val="center"/>
          </w:tcPr>
          <w:p w:rsidR="00BA6265" w:rsidRPr="00DA4F2D" w:rsidRDefault="00BA6265" w:rsidP="00660039">
            <w:pPr>
              <w:keepNext/>
            </w:pPr>
            <w:r w:rsidRPr="00DA4F2D">
              <w:t xml:space="preserve">A study with a minimum of five of the six criteria rated as </w:t>
            </w:r>
            <w:r>
              <w:t>low risk of bias.</w:t>
            </w:r>
          </w:p>
        </w:tc>
        <w:tc>
          <w:tcPr>
            <w:tcW w:w="7081" w:type="dxa"/>
            <w:vAlign w:val="center"/>
          </w:tcPr>
          <w:p w:rsidR="00BA6265" w:rsidRPr="00DA4F2D" w:rsidRDefault="00BA6265" w:rsidP="00660039">
            <w:pPr>
              <w:keepNext/>
            </w:pPr>
            <w:r w:rsidRPr="00DA4F2D">
              <w:t>This rating includes two categories:</w:t>
            </w:r>
          </w:p>
          <w:p w:rsidR="00BA6265" w:rsidRPr="00DA4F2D" w:rsidRDefault="00BA6265" w:rsidP="00660039">
            <w:pPr>
              <w:keepNext/>
            </w:pPr>
            <w:r w:rsidRPr="00DA4F2D">
              <w:t>1. Evidence of no benefit or harm. (A strong study that shows no difference and the confidence intervals around the estimated effect are narrow.)</w:t>
            </w:r>
          </w:p>
          <w:p w:rsidR="00BA6265" w:rsidRPr="00DA4F2D" w:rsidRDefault="00BA6265" w:rsidP="00660039">
            <w:pPr>
              <w:keepNext/>
            </w:pPr>
            <w:r w:rsidRPr="00DA4F2D">
              <w:t>2. No evidence of benefit or harm. Further studies required. (A strong study where no statistically significant difference is shown but the confidence intervals around the estimated effect is wide.)</w:t>
            </w:r>
          </w:p>
        </w:tc>
      </w:tr>
    </w:tbl>
    <w:p w:rsidR="00BA6265" w:rsidRDefault="00BA6265" w:rsidP="00660039">
      <w:pPr>
        <w:spacing w:line="480" w:lineRule="auto"/>
      </w:pPr>
    </w:p>
    <w:p w:rsidR="00BA6265" w:rsidRDefault="00BA6265">
      <w:r>
        <w:br w:type="page"/>
      </w:r>
    </w:p>
    <w:p w:rsidR="00BA6265" w:rsidRDefault="00BA6265" w:rsidP="00660039">
      <w:r>
        <w:lastRenderedPageBreak/>
        <w:t>We adapted a</w:t>
      </w:r>
      <w:r w:rsidRPr="00DA4F2D">
        <w:t xml:space="preserve"> method/process developed by the National Health and Medical Research Council (NHMRC) </w:t>
      </w:r>
      <w:r w:rsidR="009B5648">
        <w:fldChar w:fldCharType="begin"/>
      </w:r>
      <w:r>
        <w:instrText xml:space="preserve"> ADDIN REFMGR.CITE &lt;Refman&gt;&lt;Cite&gt;&lt;Author&gt;NHMRC&lt;/Author&gt;&lt;Year&gt;2012&lt;/Year&gt;&lt;RecNum&gt;3082&lt;/RecNum&gt;&lt;IDText&gt;NHMRC additional levels of evidence and grades for recommendations for developers of guidelines: PILOT PROGRAM 2005 - 2007&lt;/IDText&gt;&lt;MDL Ref_Type="Electronic Citation"&gt;&lt;Ref_Type&gt;Electronic Citation&lt;/Ref_Type&gt;&lt;Ref_ID&gt;3082&lt;/Ref_ID&gt;&lt;Title_Primary&gt;NHMRC additional levels of evidence and grades for recommendations for developers of guidelines: PILOT PROGRAM 2005 - 2007&lt;/Title_Primary&gt;&lt;Authors_Primary&gt;NHMRC&lt;/Authors_Primary&gt;&lt;Date_Primary&gt;2012&lt;/Date_Primary&gt;&lt;Reprint&gt;Not in File&lt;/Reprint&gt;&lt;Periodical&gt;NHMRC&lt;/Periodical&gt;&lt;Date_Secondary&gt;2012/7/9&lt;/Date_Secondary&gt;&lt;Web_URL_Link1&gt;&lt;u&gt;http://www.nhmrc.gov.au/_files_nhmrc/file/guidelines/levels_grades05.pdf&lt;/u&gt;&lt;/Web_URL_Link1&gt;&lt;ZZ_JournalFull&gt;&lt;f name="System"&gt;NHMRC&lt;/f&gt;&lt;/ZZ_JournalFull&gt;&lt;ZZ_WorkformID&gt;34&lt;/ZZ_WorkformID&gt;&lt;/MDL&gt;&lt;/Cite&gt;&lt;/Refman&gt;</w:instrText>
      </w:r>
      <w:r w:rsidR="009B5648">
        <w:fldChar w:fldCharType="separate"/>
      </w:r>
      <w:r>
        <w:t>[15]</w:t>
      </w:r>
      <w:r w:rsidR="009B5648">
        <w:fldChar w:fldCharType="end"/>
      </w:r>
      <w:r>
        <w:t xml:space="preserve"> </w:t>
      </w:r>
      <w:r w:rsidRPr="00DA4F2D">
        <w:t xml:space="preserve">to formulate recommendations concerning the relevance of the intervention </w:t>
      </w:r>
      <w:r>
        <w:t xml:space="preserve">in </w:t>
      </w:r>
      <w:r w:rsidRPr="00DA4F2D">
        <w:t>the remote Indigenous context. The factors considered to assess the body of evidence were:</w:t>
      </w:r>
    </w:p>
    <w:p w:rsidR="00BA6265" w:rsidRPr="00DA4F2D" w:rsidRDefault="00BA6265" w:rsidP="00660039"/>
    <w:p w:rsidR="00BA6265" w:rsidRPr="00DA4F2D" w:rsidRDefault="00BA6265" w:rsidP="00660039">
      <w:pPr>
        <w:ind w:left="284"/>
      </w:pPr>
      <w:r w:rsidRPr="00DA4F2D">
        <w:t xml:space="preserve">• </w:t>
      </w:r>
      <w:r>
        <w:t>V</w:t>
      </w:r>
      <w:r w:rsidRPr="00DA4F2D">
        <w:t>olume of evidence;</w:t>
      </w:r>
    </w:p>
    <w:p w:rsidR="00BA6265" w:rsidRPr="00DA4F2D" w:rsidRDefault="00BA6265" w:rsidP="00660039">
      <w:pPr>
        <w:ind w:left="284"/>
      </w:pPr>
      <w:r w:rsidRPr="00DA4F2D">
        <w:t xml:space="preserve">• </w:t>
      </w:r>
      <w:r>
        <w:t>C</w:t>
      </w:r>
      <w:r w:rsidRPr="00DA4F2D">
        <w:t>onsistency of the study results;</w:t>
      </w:r>
    </w:p>
    <w:p w:rsidR="00BA6265" w:rsidRPr="00DA4F2D" w:rsidRDefault="00BA6265" w:rsidP="00660039">
      <w:pPr>
        <w:ind w:left="284"/>
      </w:pPr>
      <w:r w:rsidRPr="00DA4F2D">
        <w:t xml:space="preserve">• </w:t>
      </w:r>
      <w:r>
        <w:t>P</w:t>
      </w:r>
      <w:r w:rsidRPr="00DA4F2D">
        <w:t>otential clinical impact of the proposed recommendation;</w:t>
      </w:r>
    </w:p>
    <w:p w:rsidR="00BA6265" w:rsidRPr="00DA4F2D" w:rsidRDefault="00BA6265" w:rsidP="00660039">
      <w:pPr>
        <w:ind w:left="284"/>
      </w:pPr>
      <w:r w:rsidRPr="00DA4F2D">
        <w:t xml:space="preserve">• </w:t>
      </w:r>
      <w:proofErr w:type="spellStart"/>
      <w:r>
        <w:t>G</w:t>
      </w:r>
      <w:r w:rsidRPr="00DA4F2D">
        <w:t>eneralisability</w:t>
      </w:r>
      <w:proofErr w:type="spellEnd"/>
      <w:r w:rsidRPr="00DA4F2D">
        <w:t xml:space="preserve"> of the body of evidence to the target population; and</w:t>
      </w:r>
    </w:p>
    <w:p w:rsidR="00BA6265" w:rsidRDefault="00BA6265" w:rsidP="00660039">
      <w:pPr>
        <w:ind w:left="284"/>
      </w:pPr>
      <w:r w:rsidRPr="00DA4F2D">
        <w:t xml:space="preserve">• </w:t>
      </w:r>
      <w:r>
        <w:t>A</w:t>
      </w:r>
      <w:r w:rsidRPr="00DA4F2D">
        <w:t>pplicability of the body of evidence to the Australian healthcare context.</w:t>
      </w:r>
    </w:p>
    <w:p w:rsidR="00BA6265" w:rsidRDefault="00BA6265" w:rsidP="007349C9">
      <w:pPr>
        <w:pStyle w:val="Heading7"/>
      </w:pPr>
      <w:r w:rsidRPr="00C470A4">
        <w:t>Other measures of relevance</w:t>
      </w:r>
    </w:p>
    <w:p w:rsidR="00BA6265" w:rsidRPr="00DA4F2D" w:rsidRDefault="00BA6265" w:rsidP="00660039">
      <w:r w:rsidRPr="00DA4F2D">
        <w:t>Data were extracted to gain information about intervention development, design, implementation process and issues concerning health system or health service delivery. Th</w:t>
      </w:r>
      <w:r>
        <w:t>e</w:t>
      </w:r>
      <w:r w:rsidRPr="00DA4F2D">
        <w:t xml:space="preserve"> approach </w:t>
      </w:r>
      <w:r>
        <w:t xml:space="preserve">used </w:t>
      </w:r>
      <w:r w:rsidRPr="00DA4F2D">
        <w:t>to ascertain if study interventions and methodologies reflect current best practice thinking around achieving sustainable health improvements. Such factors included physical and social context in which studies took place; characteristics of participants; underlying theory supporting the intervention; the use of single or multifaceted interventions; implementation issues (workforce, feasibility, sustainability); consumer acceptability (to message sent); health service capabilities; and cost. These factors were considered also to test if interventions might be suitable to use, and feasible to implement, in remote Indigenous communities.</w:t>
      </w:r>
    </w:p>
    <w:p w:rsidR="00BA6265" w:rsidRDefault="00BA6265" w:rsidP="007349C9">
      <w:pPr>
        <w:pStyle w:val="Heading7"/>
      </w:pPr>
      <w:r w:rsidRPr="00B73DEB">
        <w:t>Data analysis</w:t>
      </w:r>
    </w:p>
    <w:p w:rsidR="00BA6265" w:rsidRPr="00DA4F2D" w:rsidRDefault="00BA6265" w:rsidP="00660039">
      <w:r>
        <w:t xml:space="preserve">We planned a </w:t>
      </w:r>
      <w:r w:rsidRPr="00DA4F2D">
        <w:t xml:space="preserve">two phased approach </w:t>
      </w:r>
      <w:r>
        <w:t>to analyse the data</w:t>
      </w:r>
      <w:r w:rsidRPr="00DA4F2D">
        <w:t xml:space="preserve">. </w:t>
      </w:r>
    </w:p>
    <w:p w:rsidR="00BA6265" w:rsidRDefault="00BA6265" w:rsidP="00660039"/>
    <w:p w:rsidR="00BA6265" w:rsidRPr="00C25113" w:rsidRDefault="00BA6265" w:rsidP="00660039">
      <w:pPr>
        <w:rPr>
          <w:i/>
        </w:rPr>
      </w:pPr>
      <w:r w:rsidRPr="00C25113">
        <w:rPr>
          <w:i/>
        </w:rPr>
        <w:t>Phase 1. Knowledge support – aggregative phase</w:t>
      </w:r>
    </w:p>
    <w:p w:rsidR="00BA6265" w:rsidRDefault="00BA6265" w:rsidP="00660039"/>
    <w:p w:rsidR="008041C8" w:rsidRDefault="00BA6265" w:rsidP="008041C8">
      <w:pPr>
        <w:spacing w:after="240"/>
      </w:pPr>
      <w:r w:rsidRPr="00DA4F2D">
        <w:t xml:space="preserve">Single studies </w:t>
      </w:r>
      <w:r>
        <w:t>to be</w:t>
      </w:r>
      <w:r w:rsidRPr="00DA4F2D">
        <w:t xml:space="preserve"> reviewed in relation to intervention effectiveness. Results of individual studies </w:t>
      </w:r>
      <w:r>
        <w:t xml:space="preserve">to be </w:t>
      </w:r>
      <w:r w:rsidRPr="00DA4F2D">
        <w:t xml:space="preserve">examined to determine if analysis was based on the </w:t>
      </w:r>
      <w:r>
        <w:t>‘</w:t>
      </w:r>
      <w:r w:rsidRPr="00DA4F2D">
        <w:t>intention to treat</w:t>
      </w:r>
      <w:r>
        <w:t>’</w:t>
      </w:r>
      <w:r w:rsidRPr="00DA4F2D">
        <w:t>. The risk dif</w:t>
      </w:r>
      <w:r>
        <w:t xml:space="preserve">ference between the SMS </w:t>
      </w:r>
      <w:r w:rsidRPr="00DA4F2D">
        <w:t xml:space="preserve">group compared with </w:t>
      </w:r>
      <w:r>
        <w:t xml:space="preserve">the </w:t>
      </w:r>
      <w:r w:rsidRPr="00DA4F2D">
        <w:t>control</w:t>
      </w:r>
      <w:r>
        <w:t xml:space="preserve"> group</w:t>
      </w:r>
      <w:r w:rsidRPr="00DA4F2D">
        <w:t xml:space="preserve"> was to be abstracted or calculated where suitable information was available and studies were considered to be sufficiently powered. Anticipating </w:t>
      </w:r>
      <w:r>
        <w:t xml:space="preserve">heterogeneity </w:t>
      </w:r>
      <w:r w:rsidRPr="00DA4F2D">
        <w:t>between studies</w:t>
      </w:r>
      <w:r>
        <w:t>,</w:t>
      </w:r>
      <w:r w:rsidRPr="00DA4F2D">
        <w:t xml:space="preserve"> a random effects model of analysis was planned. Meta-analysis was to be completed only</w:t>
      </w:r>
      <w:r>
        <w:t xml:space="preserve"> if combining the studies was thought not to be misleading.</w:t>
      </w:r>
    </w:p>
    <w:p w:rsidR="00BA6265" w:rsidRPr="00C25113" w:rsidRDefault="00BA6265" w:rsidP="00660039">
      <w:pPr>
        <w:rPr>
          <w:i/>
        </w:rPr>
      </w:pPr>
      <w:proofErr w:type="gramStart"/>
      <w:r w:rsidRPr="00C25113">
        <w:rPr>
          <w:i/>
        </w:rPr>
        <w:t>Phase 2.</w:t>
      </w:r>
      <w:proofErr w:type="gramEnd"/>
      <w:r w:rsidRPr="00C25113">
        <w:rPr>
          <w:i/>
        </w:rPr>
        <w:t xml:space="preserve"> Decision support phase and relevance testing</w:t>
      </w:r>
    </w:p>
    <w:p w:rsidR="00BA6265" w:rsidRDefault="00BA6265" w:rsidP="00660039"/>
    <w:p w:rsidR="00BA6265" w:rsidRDefault="00BA6265" w:rsidP="008041C8">
      <w:pPr>
        <w:rPr>
          <w:b/>
        </w:rPr>
      </w:pPr>
      <w:r w:rsidRPr="00DA4F2D">
        <w:t xml:space="preserve">In this phase, factors regarding the relevance of studies to the question asked, problem addressed and context were </w:t>
      </w:r>
      <w:r>
        <w:t xml:space="preserve">to be </w:t>
      </w:r>
      <w:r w:rsidRPr="00DA4F2D">
        <w:t>considered</w:t>
      </w:r>
      <w:r>
        <w:t>.</w:t>
      </w:r>
      <w:r w:rsidR="008041C8">
        <w:rPr>
          <w:b/>
        </w:rPr>
        <w:t xml:space="preserve"> </w:t>
      </w:r>
    </w:p>
    <w:p w:rsidR="00BA6265" w:rsidRDefault="00BA6265">
      <w:pPr>
        <w:rPr>
          <w:b/>
        </w:rPr>
      </w:pPr>
      <w:r>
        <w:rPr>
          <w:b/>
        </w:rPr>
        <w:br w:type="page"/>
      </w:r>
    </w:p>
    <w:p w:rsidR="00BA6265" w:rsidRPr="00B73DEB" w:rsidRDefault="00BA6265" w:rsidP="00C96163">
      <w:pPr>
        <w:pStyle w:val="Heading6"/>
      </w:pPr>
      <w:r w:rsidRPr="00B73DEB">
        <w:lastRenderedPageBreak/>
        <w:t xml:space="preserve">RESULTS </w:t>
      </w:r>
      <w:r>
        <w:t>and DISCUSSION</w:t>
      </w:r>
    </w:p>
    <w:p w:rsidR="00BA6265" w:rsidRDefault="00BA6265" w:rsidP="00C96163">
      <w:pPr>
        <w:pStyle w:val="Heading7"/>
      </w:pPr>
      <w:r w:rsidRPr="00B73DEB">
        <w:t>Search Findings</w:t>
      </w:r>
    </w:p>
    <w:p w:rsidR="00BA6265" w:rsidRPr="00DA4F2D" w:rsidRDefault="00BA6265" w:rsidP="005F703E">
      <w:r w:rsidRPr="00DA4F2D">
        <w:t>Figure 1 describes the search process and outcomes.</w:t>
      </w:r>
    </w:p>
    <w:bookmarkStart w:id="3" w:name="_Ref326499303"/>
    <w:p w:rsidR="00BA6265" w:rsidRPr="00DA4F2D" w:rsidRDefault="00406EC6" w:rsidP="006F6984">
      <w:pPr>
        <w:spacing w:line="480" w:lineRule="auto"/>
        <w:ind w:left="1134"/>
      </w:pPr>
      <w:r>
        <w:rPr>
          <w:noProof/>
        </w:rPr>
        <mc:AlternateContent>
          <mc:Choice Requires="wpg">
            <w:drawing>
              <wp:inline distT="0" distB="0" distL="0" distR="0" wp14:anchorId="12974F5A" wp14:editId="51CBD7EE">
                <wp:extent cx="4572635" cy="3481705"/>
                <wp:effectExtent l="0" t="0" r="0" b="4445"/>
                <wp:docPr id="2" name="Group 15" descr="Search process and outcomes." title="Figure 1 search proces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635" cy="3481705"/>
                          <a:chOff x="2290" y="3585"/>
                          <a:chExt cx="6167" cy="4800"/>
                        </a:xfrm>
                      </wpg:grpSpPr>
                      <wps:wsp>
                        <wps:cNvPr id="3" name="AutoShape 16"/>
                        <wps:cNvSpPr>
                          <a:spLocks noChangeAspect="1" noChangeArrowheads="1" noTextEdit="1"/>
                        </wps:cNvSpPr>
                        <wps:spPr bwMode="auto">
                          <a:xfrm>
                            <a:off x="2290" y="3585"/>
                            <a:ext cx="6167" cy="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17"/>
                        <wps:cNvSpPr txBox="1">
                          <a:spLocks noChangeArrowheads="1"/>
                        </wps:cNvSpPr>
                        <wps:spPr bwMode="auto">
                          <a:xfrm>
                            <a:off x="2666" y="3745"/>
                            <a:ext cx="2974" cy="640"/>
                          </a:xfrm>
                          <a:prstGeom prst="rect">
                            <a:avLst/>
                          </a:prstGeom>
                          <a:solidFill>
                            <a:srgbClr val="FFFFFF"/>
                          </a:solidFill>
                          <a:ln w="9525">
                            <a:solidFill>
                              <a:srgbClr val="000000"/>
                            </a:solidFill>
                            <a:miter lim="800000"/>
                            <a:headEnd/>
                            <a:tailEnd/>
                          </a:ln>
                        </wps:spPr>
                        <wps:txbx>
                          <w:txbxContent>
                            <w:p w:rsidR="00DB0295" w:rsidRDefault="00DB0295" w:rsidP="00E87A50">
                              <w:r>
                                <w:t>890 records identified after electronic data base searching</w:t>
                              </w:r>
                            </w:p>
                          </w:txbxContent>
                        </wps:txbx>
                        <wps:bodyPr rot="0" vert="horz" wrap="square" lIns="91440" tIns="45720" rIns="91440" bIns="45720" anchor="t" anchorCtr="0" upright="1">
                          <a:noAutofit/>
                        </wps:bodyPr>
                      </wps:wsp>
                      <wps:wsp>
                        <wps:cNvPr id="9" name="Line 18"/>
                        <wps:cNvCnPr/>
                        <wps:spPr bwMode="auto">
                          <a:xfrm>
                            <a:off x="3519" y="4465"/>
                            <a:ext cx="1"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9"/>
                        <wps:cNvSpPr txBox="1">
                          <a:spLocks noChangeArrowheads="1"/>
                        </wps:cNvSpPr>
                        <wps:spPr bwMode="auto">
                          <a:xfrm>
                            <a:off x="2687" y="5004"/>
                            <a:ext cx="2315" cy="848"/>
                          </a:xfrm>
                          <a:prstGeom prst="rect">
                            <a:avLst/>
                          </a:prstGeom>
                          <a:solidFill>
                            <a:srgbClr val="FFFFFF"/>
                          </a:solidFill>
                          <a:ln w="9525">
                            <a:solidFill>
                              <a:srgbClr val="000000"/>
                            </a:solidFill>
                            <a:miter lim="800000"/>
                            <a:headEnd/>
                            <a:tailEnd/>
                          </a:ln>
                        </wps:spPr>
                        <wps:txbx>
                          <w:txbxContent>
                            <w:p w:rsidR="00DB0295" w:rsidRDefault="00DB0295" w:rsidP="00E87A50">
                              <w:r>
                                <w:t>40 records after 850 clearly not eligible records removed</w:t>
                              </w:r>
                            </w:p>
                          </w:txbxContent>
                        </wps:txbx>
                        <wps:bodyPr rot="0" vert="horz" wrap="square" lIns="91440" tIns="45720" rIns="91440" bIns="45720" anchor="t" anchorCtr="0" upright="1">
                          <a:noAutofit/>
                        </wps:bodyPr>
                      </wps:wsp>
                      <wps:wsp>
                        <wps:cNvPr id="11" name="Text Box 20"/>
                        <wps:cNvSpPr txBox="1">
                          <a:spLocks noChangeArrowheads="1"/>
                        </wps:cNvSpPr>
                        <wps:spPr bwMode="auto">
                          <a:xfrm>
                            <a:off x="5671" y="5198"/>
                            <a:ext cx="2191" cy="480"/>
                          </a:xfrm>
                          <a:prstGeom prst="rect">
                            <a:avLst/>
                          </a:prstGeom>
                          <a:solidFill>
                            <a:srgbClr val="FFFFFF"/>
                          </a:solidFill>
                          <a:ln w="9525">
                            <a:solidFill>
                              <a:srgbClr val="000000"/>
                            </a:solidFill>
                            <a:miter lim="800000"/>
                            <a:headEnd/>
                            <a:tailEnd/>
                          </a:ln>
                        </wps:spPr>
                        <wps:txbx>
                          <w:txbxContent>
                            <w:p w:rsidR="00DB0295" w:rsidRDefault="00DB0295" w:rsidP="00E87A50">
                              <w:r>
                                <w:t>9 duplicates removed</w:t>
                              </w:r>
                            </w:p>
                          </w:txbxContent>
                        </wps:txbx>
                        <wps:bodyPr rot="0" vert="horz" wrap="square" lIns="91440" tIns="45720" rIns="91440" bIns="45720" anchor="t" anchorCtr="0" upright="1">
                          <a:noAutofit/>
                        </wps:bodyPr>
                      </wps:wsp>
                      <wps:wsp>
                        <wps:cNvPr id="12" name="Line 21"/>
                        <wps:cNvCnPr/>
                        <wps:spPr bwMode="auto">
                          <a:xfrm>
                            <a:off x="3581" y="5918"/>
                            <a:ext cx="1"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22"/>
                        <wps:cNvSpPr txBox="1">
                          <a:spLocks noChangeArrowheads="1"/>
                        </wps:cNvSpPr>
                        <wps:spPr bwMode="auto">
                          <a:xfrm>
                            <a:off x="2684" y="6441"/>
                            <a:ext cx="2035" cy="480"/>
                          </a:xfrm>
                          <a:prstGeom prst="rect">
                            <a:avLst/>
                          </a:prstGeom>
                          <a:solidFill>
                            <a:srgbClr val="FFFFFF"/>
                          </a:solidFill>
                          <a:ln w="9525">
                            <a:solidFill>
                              <a:srgbClr val="000000"/>
                            </a:solidFill>
                            <a:miter lim="800000"/>
                            <a:headEnd/>
                            <a:tailEnd/>
                          </a:ln>
                        </wps:spPr>
                        <wps:txbx>
                          <w:txbxContent>
                            <w:p w:rsidR="00DB0295" w:rsidRDefault="00DB0295" w:rsidP="00E87A50">
                              <w:r>
                                <w:t>31 papers reviewed</w:t>
                              </w:r>
                            </w:p>
                          </w:txbxContent>
                        </wps:txbx>
                        <wps:bodyPr rot="0" vert="horz" wrap="square" lIns="91440" tIns="45720" rIns="91440" bIns="45720" anchor="t" anchorCtr="0" upright="1">
                          <a:noAutofit/>
                        </wps:bodyPr>
                      </wps:wsp>
                      <wps:wsp>
                        <wps:cNvPr id="14" name="Text Box 23"/>
                        <wps:cNvSpPr txBox="1">
                          <a:spLocks noChangeArrowheads="1"/>
                        </wps:cNvSpPr>
                        <wps:spPr bwMode="auto">
                          <a:xfrm>
                            <a:off x="5714" y="6361"/>
                            <a:ext cx="2447" cy="640"/>
                          </a:xfrm>
                          <a:prstGeom prst="rect">
                            <a:avLst/>
                          </a:prstGeom>
                          <a:solidFill>
                            <a:srgbClr val="FFFFFF"/>
                          </a:solidFill>
                          <a:ln w="9525">
                            <a:solidFill>
                              <a:srgbClr val="000000"/>
                            </a:solidFill>
                            <a:miter lim="800000"/>
                            <a:headEnd/>
                            <a:tailEnd/>
                          </a:ln>
                        </wps:spPr>
                        <wps:txbx>
                          <w:txbxContent>
                            <w:p w:rsidR="00DB0295" w:rsidRDefault="00DB0295" w:rsidP="00E87A50">
                              <w:r>
                                <w:t>25 full text papers excluded with reasons</w:t>
                              </w:r>
                            </w:p>
                          </w:txbxContent>
                        </wps:txbx>
                        <wps:bodyPr rot="0" vert="horz" wrap="square" lIns="91440" tIns="45720" rIns="91440" bIns="45720" anchor="t" anchorCtr="0" upright="1">
                          <a:noAutofit/>
                        </wps:bodyPr>
                      </wps:wsp>
                      <wps:wsp>
                        <wps:cNvPr id="15" name="Line 24"/>
                        <wps:cNvCnPr/>
                        <wps:spPr bwMode="auto">
                          <a:xfrm>
                            <a:off x="3560" y="6977"/>
                            <a:ext cx="1"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25"/>
                        <wps:cNvSpPr txBox="1">
                          <a:spLocks noChangeArrowheads="1"/>
                        </wps:cNvSpPr>
                        <wps:spPr bwMode="auto">
                          <a:xfrm>
                            <a:off x="2697" y="7494"/>
                            <a:ext cx="1878" cy="640"/>
                          </a:xfrm>
                          <a:prstGeom prst="rect">
                            <a:avLst/>
                          </a:prstGeom>
                          <a:solidFill>
                            <a:srgbClr val="FFFFFF"/>
                          </a:solidFill>
                          <a:ln w="9525">
                            <a:solidFill>
                              <a:srgbClr val="000000"/>
                            </a:solidFill>
                            <a:miter lim="800000"/>
                            <a:headEnd/>
                            <a:tailEnd/>
                          </a:ln>
                        </wps:spPr>
                        <wps:txbx>
                          <w:txbxContent>
                            <w:p w:rsidR="00DB0295" w:rsidRDefault="00DB0295" w:rsidP="00E87A50">
                              <w:r>
                                <w:t>6 papers eligible for inclusion</w:t>
                              </w:r>
                            </w:p>
                          </w:txbxContent>
                        </wps:txbx>
                        <wps:bodyPr rot="0" vert="horz" wrap="square" lIns="91440" tIns="45720" rIns="91440" bIns="45720" anchor="t" anchorCtr="0" upright="1">
                          <a:noAutofit/>
                        </wps:bodyPr>
                      </wps:wsp>
                      <wps:wsp>
                        <wps:cNvPr id="17" name="Line 26"/>
                        <wps:cNvCnPr/>
                        <wps:spPr bwMode="auto">
                          <a:xfrm>
                            <a:off x="5133" y="5465"/>
                            <a:ext cx="421"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7"/>
                        <wps:cNvCnPr/>
                        <wps:spPr bwMode="auto">
                          <a:xfrm>
                            <a:off x="5070" y="6692"/>
                            <a:ext cx="435"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5" o:spid="_x0000_s1065" alt="Title: Figure 1 search process - Description: Search process and outcomes." style="width:360.05pt;height:274.15pt;mso-position-horizontal-relative:char;mso-position-vertical-relative:line" coordorigin="2290,3585" coordsize="6167,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E2xjwUAAPUkAAAOAAAAZHJzL2Uyb0RvYy54bWzsWt1yozYUvu9M30HDvWOExZ8nzk5ix5nO&#10;pG1msn0AGWSbKSAq4djpTt+9RxIGTDab1Nl6uw2+8AAC6eic73znB84/7LIUPTAhE55PLHxmW4jl&#10;EY+TfDWxfvs4HwQWkiXNY5rynE2sRyatDxc//nC+LcbM4WuexkwgmCSX420xsdZlWYyHQxmtWUbl&#10;GS9YDoNLLjJawqlYDWNBtzB7lg4d2/aGWy7iQvCISQlXZ2bQutDzL5csKn9dLiUrUTqxQLZS/wv9&#10;v1D/w4tzOl4JWqyTqBKDHiFFRpMcFq2nmtGSoo1InkyVJZHgki/Ls4hnQ75cJhHTe4DdYLuzmxvB&#10;N4Xey2q8XRW1mkC1HT0dPW30y8OdQEk8sRwL5TQDE+lVEXYtFDMZga7uGRXRGlVaRmBMxDclyM/k&#10;Gag0KVN4ap6sNoIhjOTB3UrB22I1hnVuRHFf3AmjJTi85dHvEuV8uqb5il3KAowFEFJPDLuPqPOV&#10;eR4ttj/zGFakm5Jrne+WIlOzgjbRTpv2sTYt25UogovE9R1vBHuKYGxEAuzbrjF+tAaEqOccJwSE&#10;qGE3qMeuq+c97PnmYRLYGjZDOjYLa2Er4dRmAciysZV8m63u17RgGgJS6bCy1Whvq0vQgb4FYc+o&#10;Wt+217N8VsmN3oXg2zWjMQiKYVr+EVR2HSctU7SmVLuTYMQXjfAZZe5N8QVV0nEhZHnDeAZokyCC&#10;AExoG9OHW1kqZDS3KJPnfJ6kqXbiND+4ADeaK7AsPKrGlADaJz+FdngdXAdkQBzvekDs2WxwOZ+S&#10;gTfHvjsbzabTGf5LrYvJeJ3EMcvVMnt+wOR1Nq2Yynh2zRCSp0msplMiSbFaTFOBHijw01z/NP5h&#10;pLlteCiGVgLspbMl7BD7ygkHcy/wB2RO3EHo28HAxuFV6NkkJLP54ZZuk5y9fUtoO7FC13G1lVpC&#10;d/Zm69/TvdFxlpQQAdIkm1jgWfAzbqkgeZ3H2rQlTVJz3FKFEr9RBZh7b2jwRwNS44wLHj8CYAUH&#10;OIF/Q6yCgzUXf1poC7w/seQfGyqYhdKfcvCBEBOiAoU+UawBJ6I9smiP0DyCqSZWaQEtqsNpaYLL&#10;phDJag0rYa2YnCtPXSYawko+I5VmOs0XJyIOiMaG5JWXoyu+Q9jv8AYqd3B9L/gTBjmgC0PVR/GD&#10;53mGbH1Ska2SSFG1E/rEUK0HljA+v6f4f0gPz+PxOV9TrHFqSGui6qC23C12OixDHAYVNJDpgazV&#10;Eu6BrFkMB3slQYyc5neiUtmrQtXIxTAbxH1CvA4UISCqfAFC/pdxmAIXvTpMvRlekBVWxPgZkkTl&#10;YwHJUSkSyKpSoDXg54zFQG8MEnR1ZDzqvxkc63jeInoTKw3B7wlfR/SOyxhKVbtT3gI52Ik4FUOE&#10;6JJq2MKjSsZORaoBJKkAWNe2iZLA5DyaVEcqoVdgDoh2FtDnOybVOlnus4NWWYFVAaBrwDo9gPSn&#10;4lJg1tMh2fV8kEUhGYcari0k4/C1tPxS9fB/SA/q9K1HchvJdTdD5weO7iqosHBUfhBUWAxNntFg&#10;8bVA7PODr1Q8f5f5Qd2taVjV+Sas6ngBVFbAqh4h2iMaJDv2vjn2YrL7Hli1rid6Vm2zKqCnmx+M&#10;vgmSXR9XSB55XSQTUnVq+/YBdHHqSqRHchvJUAwZJJv8QFdLR+cHHlSAilVDX2djDav2+cGJm+vf&#10;ZX4AjdAuq9ZNv5NWXQ4gWCPZh9cFh/0DHPjQO1b9g55VoUVdV8U9q7ZZFdDTZtW6y3JE1eXiEeTN&#10;qgPwpCtLoJwz73EVRp9vZPVV13uuuupXXSbC132SY7Bo+1WE90JduTURnuzLJn29x+K//vr8K0d4&#10;eFegv63RPFJ9B6Q+3mmf6zcKzddKF38DAAD//wMAUEsDBBQABgAIAAAAIQCSICUD3QAAAAUBAAAP&#10;AAAAZHJzL2Rvd25yZXYueG1sTI9Ba8JAEIXvBf/DMoK3uonWVmI2ImJ7kkK1ULyN2TEJZmdDdk3i&#10;v++2l/Yy8HiP975J14OpRUetqywriKcRCOLc6ooLBZ/H18clCOeRNdaWScGdHKyz0UOKibY9f1B3&#10;8IUIJewSVFB63yRSurwkg25qG+LgXWxr0AfZFlK32IdyU8tZFD1LgxWHhRIb2paUXw83o+Ctx34z&#10;j3fd/nrZ3k/HxfvXPialJuNhswLhafB/YfjBD+iQBaazvbF2olYQHvG/N3gvsygGcVaweFrOQWap&#10;/E+ffQMAAP//AwBQSwECLQAUAAYACAAAACEAtoM4kv4AAADhAQAAEwAAAAAAAAAAAAAAAAAAAAAA&#10;W0NvbnRlbnRfVHlwZXNdLnhtbFBLAQItABQABgAIAAAAIQA4/SH/1gAAAJQBAAALAAAAAAAAAAAA&#10;AAAAAC8BAABfcmVscy8ucmVsc1BLAQItABQABgAIAAAAIQDHqE2xjwUAAPUkAAAOAAAAAAAAAAAA&#10;AAAAAC4CAABkcnMvZTJvRG9jLnhtbFBLAQItABQABgAIAAAAIQCSICUD3QAAAAUBAAAPAAAAAAAA&#10;AAAAAAAAAOkHAABkcnMvZG93bnJldi54bWxQSwUGAAAAAAQABADzAAAA8wgAAAAA&#10;">
                <o:lock v:ext="edit" aspectratio="t"/>
                <v:rect id="AutoShape 16" o:spid="_x0000_s1066" style="position:absolute;left:2290;top:3585;width:6167;height:4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text="t"/>
                </v:rect>
                <v:shape id="Text Box 17" o:spid="_x0000_s1067" type="#_x0000_t202" style="position:absolute;left:2666;top:3745;width:2974;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BC29AC" w:rsidRDefault="00BC29AC" w:rsidP="00E87A50">
                        <w:r>
                          <w:t>890 records identified after electronic data base searching</w:t>
                        </w:r>
                      </w:p>
                    </w:txbxContent>
                  </v:textbox>
                </v:shape>
                <v:line id="Line 18" o:spid="_x0000_s1068" style="position:absolute;visibility:visible;mso-wrap-style:square" from="3519,4465" to="3520,4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shape id="Text Box 19" o:spid="_x0000_s1069" type="#_x0000_t202" style="position:absolute;left:2687;top:5004;width:2315;height: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BC29AC" w:rsidRDefault="00BC29AC" w:rsidP="00E87A50">
                        <w:r>
                          <w:t>40 records after 850 clearly not eligible records removed</w:t>
                        </w:r>
                      </w:p>
                    </w:txbxContent>
                  </v:textbox>
                </v:shape>
                <v:shape id="Text Box 20" o:spid="_x0000_s1070" type="#_x0000_t202" style="position:absolute;left:5671;top:5198;width:2191;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BC29AC" w:rsidRDefault="00BC29AC" w:rsidP="00E87A50">
                        <w:r>
                          <w:t>9 duplicates removed</w:t>
                        </w:r>
                      </w:p>
                    </w:txbxContent>
                  </v:textbox>
                </v:shape>
                <v:line id="Line 21" o:spid="_x0000_s1071" style="position:absolute;visibility:visible;mso-wrap-style:square" from="3581,5918" to="3582,6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shape id="Text Box 22" o:spid="_x0000_s1072" type="#_x0000_t202" style="position:absolute;left:2684;top:6441;width:203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BC29AC" w:rsidRDefault="00BC29AC" w:rsidP="00E87A50">
                        <w:r>
                          <w:t>31 papers reviewed</w:t>
                        </w:r>
                      </w:p>
                    </w:txbxContent>
                  </v:textbox>
                </v:shape>
                <v:shape id="Text Box 23" o:spid="_x0000_s1073" type="#_x0000_t202" style="position:absolute;left:5714;top:6361;width:2447;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BC29AC" w:rsidRDefault="00BC29AC" w:rsidP="00E87A50">
                        <w:r>
                          <w:t>25 full text papers excluded with reasons</w:t>
                        </w:r>
                      </w:p>
                    </w:txbxContent>
                  </v:textbox>
                </v:shape>
                <v:line id="Line 24" o:spid="_x0000_s1074" style="position:absolute;visibility:visible;mso-wrap-style:square" from="3560,6977" to="3561,7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shape id="Text Box 25" o:spid="_x0000_s1075" type="#_x0000_t202" style="position:absolute;left:2697;top:7494;width:1878;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BC29AC" w:rsidRDefault="00BC29AC" w:rsidP="00E87A50">
                        <w:r>
                          <w:t>6 papers eligible for inclusion</w:t>
                        </w:r>
                      </w:p>
                    </w:txbxContent>
                  </v:textbox>
                </v:shape>
                <v:line id="Line 26" o:spid="_x0000_s1076" style="position:absolute;visibility:visible;mso-wrap-style:square" from="5133,5465" to="5554,5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7" o:spid="_x0000_s1077" style="position:absolute;visibility:visible;mso-wrap-style:square" from="5070,6692" to="5505,6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w10:anchorlock/>
              </v:group>
            </w:pict>
          </mc:Fallback>
        </mc:AlternateContent>
      </w:r>
    </w:p>
    <w:p w:rsidR="00BA6265" w:rsidRPr="00B73DEB" w:rsidRDefault="00BA6265" w:rsidP="00C96163">
      <w:pPr>
        <w:pStyle w:val="Heading7"/>
      </w:pPr>
      <w:r w:rsidRPr="00B73DEB">
        <w:t>Description of studies</w:t>
      </w:r>
      <w:bookmarkEnd w:id="3"/>
    </w:p>
    <w:p w:rsidR="00BA6265" w:rsidRDefault="00BA6265" w:rsidP="008041C8">
      <w:pPr>
        <w:spacing w:after="240"/>
        <w:rPr>
          <w:b/>
        </w:rPr>
      </w:pPr>
      <w:r>
        <w:t xml:space="preserve">Electronic data base searching identified 890 studies. Forty studies that clearly did not meet eligibility criteria and nine duplicate studies were removed. </w:t>
      </w:r>
      <w:r w:rsidRPr="00DA4F2D">
        <w:t xml:space="preserve">After reviewing titles of </w:t>
      </w:r>
      <w:r>
        <w:t>remaining studies</w:t>
      </w:r>
      <w:r w:rsidRPr="00DA4F2D">
        <w:t xml:space="preserve"> (with abstracts</w:t>
      </w:r>
      <w:r>
        <w:t xml:space="preserve"> where available</w:t>
      </w:r>
      <w:r w:rsidRPr="00DA4F2D">
        <w:t>), 3</w:t>
      </w:r>
      <w:r>
        <w:t>1</w:t>
      </w:r>
      <w:r w:rsidRPr="00DA4F2D">
        <w:t xml:space="preserve"> studies were considered eligible for review. </w:t>
      </w:r>
      <w:r>
        <w:t xml:space="preserve">A further 25 full text papers were excluded with reasons reported (Appendix 1- Table 1).  Six studies </w:t>
      </w:r>
      <w:r w:rsidRPr="00DA4F2D">
        <w:t xml:space="preserve">(5 studies </w:t>
      </w:r>
      <w:r w:rsidR="009B5648">
        <w:fldChar w:fldCharType="begin"/>
      </w:r>
      <w:r>
        <w:instrText xml:space="preserve"> ADDIN REFMGR.CITE &lt;Refman&gt;&lt;Cite&gt;&lt;Author&gt;da Costa&lt;/Author&gt;&lt;Year&gt;2012&lt;/Year&gt;&lt;RecNum&gt;3090&lt;/RecNum&gt;&lt;IDText&gt;Results of a randomized controlled trial to assess the effects of a mobile SMS-based intervention on treatment adherence in HIV/AIDS-infected Brazilian women and impressions and satisfaction with respect to incoming messages&lt;/IDText&gt;&lt;MDL Ref_Type="Journal"&gt;&lt;Ref_Type&gt;Journal&lt;/Ref_Type&gt;&lt;Ref_ID&gt;3090&lt;/Ref_ID&gt;&lt;Title_Primary&gt;Results of a randomized controlled trial to assess the effects of a mobile SMS-based intervention on treatment adherence in HIV/AIDS-infected Brazilian women and impressions and satisfaction with respect to incoming messages&lt;/Title_Primary&gt;&lt;Authors_Primary&gt;da Costa,T.M.&lt;/Authors_Primary&gt;&lt;Authors_Primary&gt;Barbosa,B.J.&lt;/Authors_Primary&gt;&lt;Authors_Primary&gt;Gomes e Costa DA&lt;/Authors_Primary&gt;&lt;Authors_Primary&gt;Sigulem,D.&lt;/Authors_Primary&gt;&lt;Authors_Primary&gt;de Fatima,Marin H.&lt;/Authors_Primary&gt;&lt;Authors_Primary&gt;Filho,A.C.&lt;/Authors_Primary&gt;&lt;Authors_Primary&gt;Pisa,I.T.&lt;/Authors_Primary&gt;&lt;Date_Primary&gt;2012/4&lt;/Date_Primary&gt;&lt;Keywords&gt;Acquired Immunodeficiency Syndrome&lt;/Keywords&gt;&lt;Keywords&gt;administration &amp;amp; dosage&lt;/Keywords&gt;&lt;Keywords&gt;Adult&lt;/Keywords&gt;&lt;Keywords&gt;Anti-HIV Agents&lt;/Keywords&gt;&lt;Keywords&gt;Brazil&lt;/Keywords&gt;&lt;Keywords&gt;Case-Control Studies&lt;/Keywords&gt;&lt;Keywords&gt;drug therapy&lt;/Keywords&gt;&lt;Keywords&gt;Female&lt;/Keywords&gt;&lt;Keywords&gt;Health&lt;/Keywords&gt;&lt;Keywords&gt;Health Behavior&lt;/Keywords&gt;&lt;Keywords&gt;Health Services Accessibility&lt;/Keywords&gt;&lt;Keywords&gt;HIV Infections&lt;/Keywords&gt;&lt;Keywords&gt;Hiv-1&lt;/Keywords&gt;&lt;Keywords&gt;Humans&lt;/Keywords&gt;&lt;Keywords&gt;Medication Adherence&lt;/Keywords&gt;&lt;Keywords&gt;pathogenicity&lt;/Keywords&gt;&lt;Keywords&gt;Patient Compliance&lt;/Keywords&gt;&lt;Keywords&gt;Persuasive Communication&lt;/Keywords&gt;&lt;Keywords&gt;Reminder Systems&lt;/Keywords&gt;&lt;Keywords&gt;Research&lt;/Keywords&gt;&lt;Keywords&gt;standards&lt;/Keywords&gt;&lt;Keywords&gt;Text Messaging&lt;/Keywords&gt;&lt;Keywords&gt;therapy&lt;/Keywords&gt;&lt;Keywords&gt;Treatment Outcome&lt;/Keywords&gt;&lt;Reprint&gt;Not in File&lt;/Reprint&gt;&lt;Start_Page&gt;257&lt;/Start_Page&gt;&lt;End_Page&gt;269&lt;/End_Page&gt;&lt;Periodical&gt;Int.J.Med.Inform.&lt;/Periodical&gt;&lt;Volume&gt;81&lt;/Volume&gt;&lt;Issue&gt;4&lt;/Issue&gt;&lt;Address&gt;Health Informatics Postgraduate Program, Universidade Federal de Sao Paulo (UNIFESP), Sao Paulo, SP, Brazil. tmartinicosta@gmail.com&lt;/Address&gt;&lt;Web_URL&gt;PM:22296762&lt;/Web_URL&gt;&lt;ZZ_JournalStdAbbrev&gt;&lt;f name="System"&gt;Int.J.Med.Inform.&lt;/f&gt;&lt;/ZZ_JournalStdAbbrev&gt;&lt;ZZ_WorkformID&gt;1&lt;/ZZ_WorkformID&gt;&lt;/MDL&gt;&lt;/Cite&gt;&lt;Cite&gt;&lt;Author&gt;Pop-Eleches&lt;/Author&gt;&lt;Year&gt;2011&lt;/Year&gt;&lt;RecNum&gt;2&lt;/RecNum&gt;&lt;IDText&gt;Mobile phone technologies improve adherence to antiretroviral treatment in a resource-limited setting: a randomized controlled trial of text message reminders&lt;/IDText&gt;&lt;MDL Ref_Type="Journal"&gt;&lt;Ref_Type&gt;Journal&lt;/Ref_Type&gt;&lt;Ref_ID&gt;2&lt;/Ref_ID&gt;&lt;Title_Primary&gt;Mobile phone technologies improve adherence to antiretroviral treatment in a resource-limited setting: a randomized controlled trial of text message reminders&lt;/Title_Primary&gt;&lt;Authors_Primary&gt;Pop-Eleches,C.&lt;/Authors_Primary&gt;&lt;Authors_Primary&gt;Thirumurthy,H.&lt;/Authors_Primary&gt;&lt;Authors_Primary&gt;Habyarimana,J.P.&lt;/Authors_Primary&gt;&lt;Authors_Primary&gt;Zivin,J.G.&lt;/Authors_Primary&gt;&lt;Authors_Primary&gt;Goldstein,M.P.&lt;/Authors_Primary&gt;&lt;Authors_Primary&gt;de,Walque D.&lt;/Authors_Primary&gt;&lt;Authors_Primary&gt;MacKeen,L.&lt;/Authors_Primary&gt;&lt;Authors_Primary&gt;Haberer,J.&lt;/Authors_Primary&gt;&lt;Authors_Primary&gt;Kimaiyo,S.&lt;/Authors_Primary&gt;&lt;Authors_Primary&gt;Sidle,J.&lt;/Authors_Primary&gt;&lt;Authors_Primary&gt;Ngare,D.&lt;/Authors_Primary&gt;&lt;Authors_Primary&gt;Bangsberg,D.R.&lt;/Authors_Primary&gt;&lt;Date_Primary&gt;2011/3/27&lt;/Date_Primary&gt;&lt;Keywords&gt;Adult&lt;/Keywords&gt;&lt;Keywords&gt;Anti-Retroviral Agents&lt;/Keywords&gt;&lt;Keywords&gt;Cellular Phone&lt;/Keywords&gt;&lt;Keywords&gt;drug therapy&lt;/Keywords&gt;&lt;Keywords&gt;Female&lt;/Keywords&gt;&lt;Keywords&gt;Health Services Accessibility&lt;/Keywords&gt;&lt;Keywords&gt;HIV Infections&lt;/Keywords&gt;&lt;Keywords&gt;Humans&lt;/Keywords&gt;&lt;Keywords&gt;instrumentation&lt;/Keywords&gt;&lt;Keywords&gt;Kenya&lt;/Keywords&gt;&lt;Keywords&gt;Male&lt;/Keywords&gt;&lt;Keywords&gt;Patient Compliance&lt;/Keywords&gt;&lt;Keywords&gt;Reminder Systems&lt;/Keywords&gt;&lt;Keywords&gt;Rural Health&lt;/Keywords&gt;&lt;Keywords&gt;standards&lt;/Keywords&gt;&lt;Keywords&gt;therapeutic use&lt;/Keywords&gt;&lt;Reprint&gt;Not in File&lt;/Reprint&gt;&lt;Start_Page&gt;825&lt;/Start_Page&gt;&lt;End_Page&gt;834&lt;/End_Page&gt;&lt;Periodical&gt;AIDS&lt;/Periodical&gt;&lt;Volume&gt;25&lt;/Volume&gt;&lt;Issue&gt;6&lt;/Issue&gt;&lt;Address&gt;School of International and Public Affairs, Columbia University, New York, New York, USA&lt;/Address&gt;&lt;Web_URL&gt;PM:21252632&lt;/Web_URL&gt;&lt;ZZ_JournalStdAbbrev&gt;&lt;f name="System"&gt;AIDS&lt;/f&gt;&lt;/ZZ_JournalStdAbbrev&gt;&lt;ZZ_WorkformID&gt;1&lt;/ZZ_WorkformID&gt;&lt;/MDL&gt;&lt;/Cite&gt;&lt;Cite&gt;&lt;Author&gt;Sharma&lt;/Author&gt;&lt;Year&gt;2011&lt;/Year&gt;&lt;RecNum&gt;3&lt;/RecNum&gt;&lt;IDText&gt;Mobile-phone text messaging (SMS) for providing oral health education to mothers of preschool children in Belgaum City&lt;/IDText&gt;&lt;MDL Ref_Type="Journal"&gt;&lt;Ref_Type&gt;Journal&lt;/Ref_Type&gt;&lt;Ref_ID&gt;3&lt;/Ref_ID&gt;&lt;Title_Primary&gt;Mobile-phone text messaging (SMS) for providing oral health education to mothers of preschool children in Belgaum City&lt;/Title_Primary&gt;&lt;Authors_Primary&gt;Sharma,R.&lt;/Authors_Primary&gt;&lt;Authors_Primary&gt;Hebbal,M.&lt;/Authors_Primary&gt;&lt;Authors_Primary&gt;Ankola,A.V.&lt;/Authors_Primary&gt;&lt;Authors_Primary&gt;Murugabupathy,V.&lt;/Authors_Primary&gt;&lt;Date_Primary&gt;2011&lt;/Date_Primary&gt;&lt;Keywords&gt;Analysis of Variance&lt;/Keywords&gt;&lt;Keywords&gt;Child,Preschool&lt;/Keywords&gt;&lt;Keywords&gt;Dental Plaque&lt;/Keywords&gt;&lt;Keywords&gt;Dental Plaque Index&lt;/Keywords&gt;&lt;Keywords&gt;education&lt;/Keywords&gt;&lt;Keywords&gt;Female&lt;/Keywords&gt;&lt;Keywords&gt;Health Education,Dental&lt;/Keywords&gt;&lt;Keywords&gt;Health Knowledge,Attitudes,Practice&lt;/Keywords&gt;&lt;Keywords&gt;Humans&lt;/Keywords&gt;&lt;Keywords&gt;India&lt;/Keywords&gt;&lt;Keywords&gt;Infant&lt;/Keywords&gt;&lt;Keywords&gt;Male&lt;/Keywords&gt;&lt;Keywords&gt;methods&lt;/Keywords&gt;&lt;Keywords&gt;Mothers&lt;/Keywords&gt;&lt;Keywords&gt;Pamphlets&lt;/Keywords&gt;&lt;Keywords&gt;prevention &amp;amp; control&lt;/Keywords&gt;&lt;Keywords&gt;Questionnaires&lt;/Keywords&gt;&lt;Keywords&gt;Text Messaging&lt;/Keywords&gt;&lt;Keywords&gt;Urban Population&lt;/Keywords&gt;&lt;Reprint&gt;Not in File&lt;/Reprint&gt;&lt;Start_Page&gt;432&lt;/Start_Page&gt;&lt;End_Page&gt;436&lt;/End_Page&gt;&lt;Periodical&gt;J.Telemed.Telecare.&lt;/Periodical&gt;&lt;Volume&gt;17&lt;/Volume&gt;&lt;Issue&gt;8&lt;/Issue&gt;&lt;Address&gt;KLE VK Institute of Dental Sciences, KLE University, Belgaum, India. ratika2808@gmail.com&lt;/Address&gt;&lt;Web_URL&gt;PM:22025742&lt;/Web_URL&gt;&lt;ZZ_JournalStdAbbrev&gt;&lt;f name="System"&gt;J.Telemed.Telecare.&lt;/f&gt;&lt;/ZZ_JournalStdAbbrev&gt;&lt;ZZ_WorkformID&gt;1&lt;/ZZ_WorkformID&gt;&lt;/MDL&gt;&lt;/Cite&gt;&lt;Cite&gt;&lt;Author&gt;Strandbygaard&lt;/Author&gt;&lt;Year&gt;2010&lt;/Year&gt;&lt;RecNum&gt;4&lt;/RecNum&gt;&lt;IDText&gt;A daily SMS reminder increases adherence to asthma treatment: a three-month follow-up study&lt;/IDText&gt;&lt;MDL Ref_Type="Journal"&gt;&lt;Ref_Type&gt;Journal&lt;/Ref_Type&gt;&lt;Ref_ID&gt;4&lt;/Ref_ID&gt;&lt;Title_Primary&gt;A daily SMS reminder increases adherence to asthma treatment: a three-month follow-up study&lt;/Title_Primary&gt;&lt;Authors_Primary&gt;Strandbygaard,U.&lt;/Authors_Primary&gt;&lt;Authors_Primary&gt;Thomsen,S.F.&lt;/Authors_Primary&gt;&lt;Authors_Primary&gt;Backer,V.&lt;/Authors_Primary&gt;&lt;Date_Primary&gt;2010/2&lt;/Date_Primary&gt;&lt;Keywords&gt;Adolescent&lt;/Keywords&gt;&lt;Keywords&gt;Adult&lt;/Keywords&gt;&lt;Keywords&gt;Anti-Asthmatic Agents&lt;/Keywords&gt;&lt;Keywords&gt;Asthma&lt;/Keywords&gt;&lt;Keywords&gt;Cellular Phone&lt;/Keywords&gt;&lt;Keywords&gt;drug therapy&lt;/Keywords&gt;&lt;Keywords&gt;Female&lt;/Keywords&gt;&lt;Keywords&gt;Follow-Up Studies&lt;/Keywords&gt;&lt;Keywords&gt;Humans&lt;/Keywords&gt;&lt;Keywords&gt;Male&lt;/Keywords&gt;&lt;Keywords&gt;Medication Adherence&lt;/Keywords&gt;&lt;Keywords&gt;methods&lt;/Keywords&gt;&lt;Keywords&gt;Middle Aged&lt;/Keywords&gt;&lt;Keywords&gt;psychology&lt;/Keywords&gt;&lt;Keywords&gt;Reminder Systems&lt;/Keywords&gt;&lt;Keywords&gt;Respiratory Function Tests&lt;/Keywords&gt;&lt;Keywords&gt;statistics &amp;amp; numerical data&lt;/Keywords&gt;&lt;Keywords&gt;therapeutic use&lt;/Keywords&gt;&lt;Keywords&gt;Treatment Outcome&lt;/Keywords&gt;&lt;Keywords&gt;Young Adult&lt;/Keywords&gt;&lt;Reprint&gt;Not in File&lt;/Reprint&gt;&lt;Start_Page&gt;166&lt;/Start_Page&gt;&lt;End_Page&gt;171&lt;/End_Page&gt;&lt;Periodical&gt;Respir.Med.&lt;/Periodical&gt;&lt;Volume&gt;104&lt;/Volume&gt;&lt;Issue&gt;2&lt;/Issue&gt;&lt;Address&gt;Department of Respiratory Medicine, Bispebjerg Hospital, Copenhagen NV, Denmark&lt;/Address&gt;&lt;Web_URL&gt;PM:19854632&lt;/Web_URL&gt;&lt;ZZ_JournalStdAbbrev&gt;&lt;f name="System"&gt;Respir.Med.&lt;/f&gt;&lt;/ZZ_JournalStdAbbrev&gt;&lt;ZZ_WorkformID&gt;1&lt;/ZZ_WorkformID&gt;&lt;/MDL&gt;&lt;/Cite&gt;&lt;Cite&gt;&lt;Author&gt;Ting&lt;/Author&gt;&lt;Year&gt;2012&lt;/Year&gt;&lt;RecNum&gt;5&lt;/RecNum&gt;&lt;IDText&gt;Usefulness of cellular text messaging for improving adherence among adolescents and young adults with systemic lupus erythematosus&lt;/IDText&gt;&lt;MDL Ref_Type="Journal"&gt;&lt;Ref_Type&gt;Journal&lt;/Ref_Type&gt;&lt;Ref_ID&gt;5&lt;/Ref_ID&gt;&lt;Title_Primary&gt;Usefulness of cellular text messaging for improving adherence among adolescents and young adults with systemic lupus erythematosus&lt;/Title_Primary&gt;&lt;Authors_Primary&gt;Ting,T.V.&lt;/Authors_Primary&gt;&lt;Authors_Primary&gt;Kudalkar,D.&lt;/Authors_Primary&gt;&lt;Authors_Primary&gt;Nelson,S.&lt;/Authors_Primary&gt;&lt;Authors_Primary&gt;Cortina,S.&lt;/Authors_Primary&gt;&lt;Authors_Primary&gt;Pendl,J.&lt;/Authors_Primary&gt;&lt;Authors_Primary&gt;Budhani,S.&lt;/Authors_Primary&gt;&lt;Authors_Primary&gt;Neville,J.&lt;/Authors_Primary&gt;&lt;Authors_Primary&gt;Taylor,J.&lt;/Authors_Primary&gt;&lt;Authors_Primary&gt;Huggins,J.&lt;/Authors_Primary&gt;&lt;Authors_Primary&gt;Drotar,D.&lt;/Authors_Primary&gt;&lt;Authors_Primary&gt;Brunner,H.I.&lt;/Authors_Primary&gt;&lt;Date_Primary&gt;2012/1&lt;/Date_Primary&gt;&lt;Keywords&gt;Adolescent&lt;/Keywords&gt;&lt;Keywords&gt;Adult&lt;/Keywords&gt;&lt;Keywords&gt;Ambulatory Care Facilities&lt;/Keywords&gt;&lt;Keywords&gt;Antirheumatic Agents&lt;/Keywords&gt;&lt;Keywords&gt;blood&lt;/Keywords&gt;&lt;Keywords&gt;drug therapy&lt;/Keywords&gt;&lt;Keywords&gt;education&lt;/Keywords&gt;&lt;Keywords&gt;Female&lt;/Keywords&gt;&lt;Keywords&gt;Humans&lt;/Keywords&gt;&lt;Keywords&gt;Hydroxychloroquine&lt;/Keywords&gt;&lt;Keywords&gt;Lupus Erythematosus,Systemic&lt;/Keywords&gt;&lt;Keywords&gt;Male&lt;/Keywords&gt;&lt;Keywords&gt;Medication Adherence&lt;/Keywords&gt;&lt;Keywords&gt;methods&lt;/Keywords&gt;&lt;Keywords&gt;Patient Compliance&lt;/Keywords&gt;&lt;Keywords&gt;physiopathology&lt;/Keywords&gt;&lt;Keywords&gt;Questionnaires&lt;/Keywords&gt;&lt;Keywords&gt;Text Messaging&lt;/Keywords&gt;&lt;Keywords&gt;therapeutic use&lt;/Keywords&gt;&lt;Keywords&gt;Young Adult&lt;/Keywords&gt;&lt;Reprint&gt;Not in File&lt;/Reprint&gt;&lt;Start_Page&gt;174&lt;/Start_Page&gt;&lt;End_Page&gt;179&lt;/End_Page&gt;&lt;Periodical&gt;J.Rheumatol.&lt;/Periodical&gt;&lt;Volume&gt;39&lt;/Volume&gt;&lt;Issue&gt;1&lt;/Issue&gt;&lt;Address&gt;Cincinnati Children&amp;apos;s Hospital Medical Center, William Rowe Division of Rheumatology, MLC 4010, 3333 Burnet Avenue, Cincinnati, OH 45229-3039, USA. tracy.ting@cchmc.org&lt;/Address&gt;&lt;Web_URL&gt;PM:22089460&lt;/Web_URL&gt;&lt;ZZ_JournalStdAbbrev&gt;&lt;f name="System"&gt;J.Rheumatol.&lt;/f&gt;&lt;/ZZ_JournalStdAbbrev&gt;&lt;ZZ_WorkformID&gt;1&lt;/ZZ_WorkformID&gt;&lt;/MDL&gt;&lt;/Cite&gt;&lt;/Refman&gt;</w:instrText>
      </w:r>
      <w:r w:rsidR="009B5648">
        <w:fldChar w:fldCharType="separate"/>
      </w:r>
      <w:r>
        <w:t>[16-20]</w:t>
      </w:r>
      <w:r w:rsidR="009B5648">
        <w:fldChar w:fldCharType="end"/>
      </w:r>
      <w:r w:rsidRPr="00DA4F2D">
        <w:t xml:space="preserve"> and 1 review and meta-analysis</w:t>
      </w:r>
      <w:r>
        <w:t xml:space="preserve"> </w:t>
      </w:r>
      <w:r w:rsidR="009B5648">
        <w:fldChar w:fldCharType="begin"/>
      </w:r>
      <w:r>
        <w:instrText xml:space="preserve"> ADDIN REFMGR.CITE &lt;Refman&gt;&lt;Cite&gt;&lt;Author&gt;Horvath&lt;/Author&gt;&lt;Year&gt;2012&lt;/Year&gt;&lt;RecNum&gt;1&lt;/RecNum&gt;&lt;IDText&gt;Mobile phone text messaging for promoting adherence to antiretroviral therapy in patients with HIV infection&lt;/IDText&gt;&lt;MDL Ref_Type="Journal"&gt;&lt;Ref_Type&gt;Journal&lt;/Ref_Type&gt;&lt;Ref_ID&gt;1&lt;/Ref_ID&gt;&lt;Title_Primary&gt;Mobile phone text messaging for promoting adherence to antiretroviral therapy in patients with HIV infection&lt;/Title_Primary&gt;&lt;Authors_Primary&gt;Horvath,T.&lt;/Authors_Primary&gt;&lt;Authors_Primary&gt;Azman,H.&lt;/Authors_Primary&gt;&lt;Authors_Primary&gt;Kennedy,G.E.&lt;/Authors_Primary&gt;&lt;Authors_Primary&gt;Rutherford,G.W.&lt;/Authors_Primary&gt;&lt;Date_Primary&gt;2012&lt;/Date_Primary&gt;&lt;Reprint&gt;Not in File&lt;/Reprint&gt;&lt;Start_Page&gt;CD009756&lt;/Start_Page&gt;&lt;Periodical&gt;Cochrane.Database.Syst.Rev.&lt;/Periodical&gt;&lt;Volume&gt;3&lt;/Volume&gt;&lt;Address&gt;Global Health Sciences, University of California, San Francisco, 50 Beale Street, Suite 1200, SanFrancisco, California, 94105, USA. thorvath@psg.ucsf.edu&lt;/Address&gt;&lt;Web_URL&gt;PM:22419345&lt;/Web_URL&gt;&lt;ZZ_JournalStdAbbrev&gt;&lt;f name="System"&gt;Cochrane.Database.Syst.Rev.&lt;/f&gt;&lt;/ZZ_JournalStdAbbrev&gt;&lt;ZZ_WorkformID&gt;1&lt;/ZZ_WorkformID&gt;&lt;/MDL&gt;&lt;/Cite&gt;&lt;/Refman&gt;</w:instrText>
      </w:r>
      <w:r w:rsidR="009B5648">
        <w:fldChar w:fldCharType="separate"/>
      </w:r>
      <w:r>
        <w:t>[21]</w:t>
      </w:r>
      <w:r w:rsidR="009B5648">
        <w:fldChar w:fldCharType="end"/>
      </w:r>
      <w:r w:rsidRPr="00DA4F2D">
        <w:t xml:space="preserve">) </w:t>
      </w:r>
      <w:r>
        <w:t xml:space="preserve">were considered eligible for inclusion </w:t>
      </w:r>
      <w:r w:rsidRPr="00DA4F2D">
        <w:t>once the full text was reviewed against the el</w:t>
      </w:r>
      <w:r>
        <w:t>igibility criteria (Appendix 2- Table 1</w:t>
      </w:r>
      <w:r w:rsidRPr="00DA4F2D">
        <w:t>).</w:t>
      </w:r>
      <w:r>
        <w:rPr>
          <w:b/>
        </w:rPr>
        <w:t xml:space="preserve"> </w:t>
      </w:r>
    </w:p>
    <w:p w:rsidR="00BA6265" w:rsidRPr="00DA4F2D" w:rsidRDefault="00BA6265" w:rsidP="00660039">
      <w:r w:rsidRPr="00DA4F2D">
        <w:t xml:space="preserve">Our search identified no research or evaluations </w:t>
      </w:r>
      <w:r>
        <w:t>concerning</w:t>
      </w:r>
      <w:r w:rsidRPr="00DA4F2D">
        <w:t xml:space="preserve"> the use of MMS messaging to promote adherence.</w:t>
      </w:r>
    </w:p>
    <w:p w:rsidR="00BA6265" w:rsidRPr="006A7D9D" w:rsidRDefault="00BA6265" w:rsidP="00C96163">
      <w:pPr>
        <w:pStyle w:val="Heading7"/>
      </w:pPr>
      <w:r w:rsidRPr="006A7D9D">
        <w:t>Characteristics of study participants and contexts</w:t>
      </w:r>
    </w:p>
    <w:p w:rsidR="00BA6265" w:rsidRDefault="00BA6265" w:rsidP="00660039">
      <w:r w:rsidRPr="00DA4F2D">
        <w:t>Three of the eligible studies were completed in resource poor counties (Brazil</w:t>
      </w:r>
      <w:r>
        <w:t xml:space="preserve"> </w:t>
      </w:r>
      <w:r w:rsidR="009B5648">
        <w:fldChar w:fldCharType="begin"/>
      </w:r>
      <w:r>
        <w:instrText xml:space="preserve"> ADDIN REFMGR.CITE &lt;Refman&gt;&lt;Cite&gt;&lt;Author&gt;da Costa&lt;/Author&gt;&lt;Year&gt;2012&lt;/Year&gt;&lt;RecNum&gt;3090&lt;/RecNum&gt;&lt;IDText&gt;Results of a randomized controlled trial to assess the effects of a mobile SMS-based intervention on treatment adherence in HIV/AIDS-infected Brazilian women and impressions and satisfaction with respect to incoming messages&lt;/IDText&gt;&lt;MDL Ref_Type="Journal"&gt;&lt;Ref_Type&gt;Journal&lt;/Ref_Type&gt;&lt;Ref_ID&gt;3090&lt;/Ref_ID&gt;&lt;Title_Primary&gt;Results of a randomized controlled trial to assess the effects of a mobile SMS-based intervention on treatment adherence in HIV/AIDS-infected Brazilian women and impressions and satisfaction with respect to incoming messages&lt;/Title_Primary&gt;&lt;Authors_Primary&gt;da Costa,T.M.&lt;/Authors_Primary&gt;&lt;Authors_Primary&gt;Barbosa,B.J.&lt;/Authors_Primary&gt;&lt;Authors_Primary&gt;Gomes e Costa DA&lt;/Authors_Primary&gt;&lt;Authors_Primary&gt;Sigulem,D.&lt;/Authors_Primary&gt;&lt;Authors_Primary&gt;de Fatima,Marin H.&lt;/Authors_Primary&gt;&lt;Authors_Primary&gt;Filho,A.C.&lt;/Authors_Primary&gt;&lt;Authors_Primary&gt;Pisa,I.T.&lt;/Authors_Primary&gt;&lt;Date_Primary&gt;2012/4&lt;/Date_Primary&gt;&lt;Keywords&gt;Acquired Immunodeficiency Syndrome&lt;/Keywords&gt;&lt;Keywords&gt;administration &amp;amp; dosage&lt;/Keywords&gt;&lt;Keywords&gt;Adult&lt;/Keywords&gt;&lt;Keywords&gt;Anti-HIV Agents&lt;/Keywords&gt;&lt;Keywords&gt;Brazil&lt;/Keywords&gt;&lt;Keywords&gt;Case-Control Studies&lt;/Keywords&gt;&lt;Keywords&gt;drug therapy&lt;/Keywords&gt;&lt;Keywords&gt;Female&lt;/Keywords&gt;&lt;Keywords&gt;Health&lt;/Keywords&gt;&lt;Keywords&gt;Health Behavior&lt;/Keywords&gt;&lt;Keywords&gt;Health Services Accessibility&lt;/Keywords&gt;&lt;Keywords&gt;HIV Infections&lt;/Keywords&gt;&lt;Keywords&gt;Hiv-1&lt;/Keywords&gt;&lt;Keywords&gt;Humans&lt;/Keywords&gt;&lt;Keywords&gt;Medication Adherence&lt;/Keywords&gt;&lt;Keywords&gt;pathogenicity&lt;/Keywords&gt;&lt;Keywords&gt;Patient Compliance&lt;/Keywords&gt;&lt;Keywords&gt;Persuasive Communication&lt;/Keywords&gt;&lt;Keywords&gt;Reminder Systems&lt;/Keywords&gt;&lt;Keywords&gt;Research&lt;/Keywords&gt;&lt;Keywords&gt;standards&lt;/Keywords&gt;&lt;Keywords&gt;Text Messaging&lt;/Keywords&gt;&lt;Keywords&gt;therapy&lt;/Keywords&gt;&lt;Keywords&gt;Treatment Outcome&lt;/Keywords&gt;&lt;Reprint&gt;Not in File&lt;/Reprint&gt;&lt;Start_Page&gt;257&lt;/Start_Page&gt;&lt;End_Page&gt;269&lt;/End_Page&gt;&lt;Periodical&gt;Int.J.Med.Inform.&lt;/Periodical&gt;&lt;Volume&gt;81&lt;/Volume&gt;&lt;Issue&gt;4&lt;/Issue&gt;&lt;Address&gt;Health Informatics Postgraduate Program, Universidade Federal de Sao Paulo (UNIFESP), Sao Paulo, SP, Brazil. tmartinicosta@gmail.com&lt;/Address&gt;&lt;Web_URL&gt;PM:22296762&lt;/Web_URL&gt;&lt;ZZ_JournalStdAbbrev&gt;&lt;f name="System"&gt;Int.J.Med.Inform.&lt;/f&gt;&lt;/ZZ_JournalStdAbbrev&gt;&lt;ZZ_WorkformID&gt;1&lt;/ZZ_WorkformID&gt;&lt;/MDL&gt;&lt;/Cite&gt;&lt;/Refman&gt;</w:instrText>
      </w:r>
      <w:r w:rsidR="009B5648">
        <w:fldChar w:fldCharType="separate"/>
      </w:r>
      <w:r>
        <w:t>[16]</w:t>
      </w:r>
      <w:r w:rsidR="009B5648">
        <w:fldChar w:fldCharType="end"/>
      </w:r>
      <w:r w:rsidRPr="00DA4F2D">
        <w:t>, Kenya</w:t>
      </w:r>
      <w:r>
        <w:t xml:space="preserve"> </w:t>
      </w:r>
      <w:r w:rsidR="009B5648">
        <w:fldChar w:fldCharType="begin"/>
      </w:r>
      <w:r>
        <w:instrText xml:space="preserve"> ADDIN REFMGR.CITE &lt;Refman&gt;&lt;Cite&gt;&lt;Author&gt;Pop-Eleches&lt;/Author&gt;&lt;Year&gt;2011&lt;/Year&gt;&lt;RecNum&gt;2&lt;/RecNum&gt;&lt;IDText&gt;Mobile phone technologies improve adherence to antiretroviral treatment in a resource-limited setting: a randomized controlled trial of text message reminders&lt;/IDText&gt;&lt;MDL Ref_Type="Journal"&gt;&lt;Ref_Type&gt;Journal&lt;/Ref_Type&gt;&lt;Ref_ID&gt;2&lt;/Ref_ID&gt;&lt;Title_Primary&gt;Mobile phone technologies improve adherence to antiretroviral treatment in a resource-limited setting: a randomized controlled trial of text message reminders&lt;/Title_Primary&gt;&lt;Authors_Primary&gt;Pop-Eleches,C.&lt;/Authors_Primary&gt;&lt;Authors_Primary&gt;Thirumurthy,H.&lt;/Authors_Primary&gt;&lt;Authors_Primary&gt;Habyarimana,J.P.&lt;/Authors_Primary&gt;&lt;Authors_Primary&gt;Zivin,J.G.&lt;/Authors_Primary&gt;&lt;Authors_Primary&gt;Goldstein,M.P.&lt;/Authors_Primary&gt;&lt;Authors_Primary&gt;de,Walque D.&lt;/Authors_Primary&gt;&lt;Authors_Primary&gt;MacKeen,L.&lt;/Authors_Primary&gt;&lt;Authors_Primary&gt;Haberer,J.&lt;/Authors_Primary&gt;&lt;Authors_Primary&gt;Kimaiyo,S.&lt;/Authors_Primary&gt;&lt;Authors_Primary&gt;Sidle,J.&lt;/Authors_Primary&gt;&lt;Authors_Primary&gt;Ngare,D.&lt;/Authors_Primary&gt;&lt;Authors_Primary&gt;Bangsberg,D.R.&lt;/Authors_Primary&gt;&lt;Date_Primary&gt;2011/3/27&lt;/Date_Primary&gt;&lt;Keywords&gt;Adult&lt;/Keywords&gt;&lt;Keywords&gt;Anti-Retroviral Agents&lt;/Keywords&gt;&lt;Keywords&gt;Cellular Phone&lt;/Keywords&gt;&lt;Keywords&gt;drug therapy&lt;/Keywords&gt;&lt;Keywords&gt;Female&lt;/Keywords&gt;&lt;Keywords&gt;Health Services Accessibility&lt;/Keywords&gt;&lt;Keywords&gt;HIV Infections&lt;/Keywords&gt;&lt;Keywords&gt;Humans&lt;/Keywords&gt;&lt;Keywords&gt;instrumentation&lt;/Keywords&gt;&lt;Keywords&gt;Kenya&lt;/Keywords&gt;&lt;Keywords&gt;Male&lt;/Keywords&gt;&lt;Keywords&gt;Patient Compliance&lt;/Keywords&gt;&lt;Keywords&gt;Reminder Systems&lt;/Keywords&gt;&lt;Keywords&gt;Rural Health&lt;/Keywords&gt;&lt;Keywords&gt;standards&lt;/Keywords&gt;&lt;Keywords&gt;therapeutic use&lt;/Keywords&gt;&lt;Reprint&gt;Not in File&lt;/Reprint&gt;&lt;Start_Page&gt;825&lt;/Start_Page&gt;&lt;End_Page&gt;834&lt;/End_Page&gt;&lt;Periodical&gt;AIDS&lt;/Periodical&gt;&lt;Volume&gt;25&lt;/Volume&gt;&lt;Issue&gt;6&lt;/Issue&gt;&lt;Address&gt;School of International and Public Affairs, Columbia University, New York, New York, USA&lt;/Address&gt;&lt;Web_URL&gt;PM:21252632&lt;/Web_URL&gt;&lt;ZZ_JournalStdAbbrev&gt;&lt;f name="System"&gt;AIDS&lt;/f&gt;&lt;/ZZ_JournalStdAbbrev&gt;&lt;ZZ_WorkformID&gt;1&lt;/ZZ_WorkformID&gt;&lt;/MDL&gt;&lt;/Cite&gt;&lt;/Refman&gt;</w:instrText>
      </w:r>
      <w:r w:rsidR="009B5648">
        <w:fldChar w:fldCharType="separate"/>
      </w:r>
      <w:r>
        <w:t>[17]</w:t>
      </w:r>
      <w:r w:rsidR="009B5648">
        <w:fldChar w:fldCharType="end"/>
      </w:r>
      <w:r w:rsidRPr="00DA4F2D">
        <w:t xml:space="preserve"> and India</w:t>
      </w:r>
      <w:r>
        <w:t xml:space="preserve"> </w:t>
      </w:r>
      <w:r w:rsidR="009B5648">
        <w:fldChar w:fldCharType="begin"/>
      </w:r>
      <w:r>
        <w:instrText xml:space="preserve"> ADDIN REFMGR.CITE &lt;Refman&gt;&lt;Cite&gt;&lt;Author&gt;Sharma&lt;/Author&gt;&lt;Year&gt;2011&lt;/Year&gt;&lt;RecNum&gt;3&lt;/RecNum&gt;&lt;IDText&gt;Mobile-phone text messaging (SMS) for providing oral health education to mothers of preschool children in Belgaum City&lt;/IDText&gt;&lt;MDL Ref_Type="Journal"&gt;&lt;Ref_Type&gt;Journal&lt;/Ref_Type&gt;&lt;Ref_ID&gt;3&lt;/Ref_ID&gt;&lt;Title_Primary&gt;Mobile-phone text messaging (SMS) for providing oral health education to mothers of preschool children in Belgaum City&lt;/Title_Primary&gt;&lt;Authors_Primary&gt;Sharma,R.&lt;/Authors_Primary&gt;&lt;Authors_Primary&gt;Hebbal,M.&lt;/Authors_Primary&gt;&lt;Authors_Primary&gt;Ankola,A.V.&lt;/Authors_Primary&gt;&lt;Authors_Primary&gt;Murugabupathy,V.&lt;/Authors_Primary&gt;&lt;Date_Primary&gt;2011&lt;/Date_Primary&gt;&lt;Keywords&gt;Analysis of Variance&lt;/Keywords&gt;&lt;Keywords&gt;Child,Preschool&lt;/Keywords&gt;&lt;Keywords&gt;Dental Plaque&lt;/Keywords&gt;&lt;Keywords&gt;Dental Plaque Index&lt;/Keywords&gt;&lt;Keywords&gt;education&lt;/Keywords&gt;&lt;Keywords&gt;Female&lt;/Keywords&gt;&lt;Keywords&gt;Health Education,Dental&lt;/Keywords&gt;&lt;Keywords&gt;Health Knowledge,Attitudes,Practice&lt;/Keywords&gt;&lt;Keywords&gt;Humans&lt;/Keywords&gt;&lt;Keywords&gt;India&lt;/Keywords&gt;&lt;Keywords&gt;Infant&lt;/Keywords&gt;&lt;Keywords&gt;Male&lt;/Keywords&gt;&lt;Keywords&gt;methods&lt;/Keywords&gt;&lt;Keywords&gt;Mothers&lt;/Keywords&gt;&lt;Keywords&gt;Pamphlets&lt;/Keywords&gt;&lt;Keywords&gt;prevention &amp;amp; control&lt;/Keywords&gt;&lt;Keywords&gt;Questionnaires&lt;/Keywords&gt;&lt;Keywords&gt;Text Messaging&lt;/Keywords&gt;&lt;Keywords&gt;Urban Population&lt;/Keywords&gt;&lt;Reprint&gt;Not in File&lt;/Reprint&gt;&lt;Start_Page&gt;432&lt;/Start_Page&gt;&lt;End_Page&gt;436&lt;/End_Page&gt;&lt;Periodical&gt;J.Telemed.Telecare.&lt;/Periodical&gt;&lt;Volume&gt;17&lt;/Volume&gt;&lt;Issue&gt;8&lt;/Issue&gt;&lt;Address&gt;KLE VK Institute of Dental Sciences, KLE University, Belgaum, India. ratika2808@gmail.com&lt;/Address&gt;&lt;Web_URL&gt;PM:22025742&lt;/Web_URL&gt;&lt;ZZ_JournalStdAbbrev&gt;&lt;f name="System"&gt;J.Telemed.Telecare.&lt;/f&gt;&lt;/ZZ_JournalStdAbbrev&gt;&lt;ZZ_WorkformID&gt;1&lt;/ZZ_WorkformID&gt;&lt;/MDL&gt;&lt;/Cite&gt;&lt;/Refman&gt;</w:instrText>
      </w:r>
      <w:r w:rsidR="009B5648">
        <w:fldChar w:fldCharType="separate"/>
      </w:r>
      <w:r>
        <w:t>[18]</w:t>
      </w:r>
      <w:r w:rsidR="009B5648">
        <w:fldChar w:fldCharType="end"/>
      </w:r>
      <w:r w:rsidRPr="00DA4F2D">
        <w:t>) and two in resource rich countries (the United States of America</w:t>
      </w:r>
      <w:r>
        <w:t xml:space="preserve"> </w:t>
      </w:r>
      <w:r w:rsidR="009B5648">
        <w:fldChar w:fldCharType="begin"/>
      </w:r>
      <w:r>
        <w:instrText xml:space="preserve"> ADDIN REFMGR.CITE &lt;Refman&gt;&lt;Cite&gt;&lt;Author&gt;Ting&lt;/Author&gt;&lt;Year&gt;2012&lt;/Year&gt;&lt;RecNum&gt;5&lt;/RecNum&gt;&lt;IDText&gt;Usefulness of cellular text messaging for improving adherence among adolescents and young adults with systemic lupus erythematosus&lt;/IDText&gt;&lt;MDL Ref_Type="Journal"&gt;&lt;Ref_Type&gt;Journal&lt;/Ref_Type&gt;&lt;Ref_ID&gt;5&lt;/Ref_ID&gt;&lt;Title_Primary&gt;Usefulness of cellular text messaging for improving adherence among adolescents and young adults with systemic lupus erythematosus&lt;/Title_Primary&gt;&lt;Authors_Primary&gt;Ting,T.V.&lt;/Authors_Primary&gt;&lt;Authors_Primary&gt;Kudalkar,D.&lt;/Authors_Primary&gt;&lt;Authors_Primary&gt;Nelson,S.&lt;/Authors_Primary&gt;&lt;Authors_Primary&gt;Cortina,S.&lt;/Authors_Primary&gt;&lt;Authors_Primary&gt;Pendl,J.&lt;/Authors_Primary&gt;&lt;Authors_Primary&gt;Budhani,S.&lt;/Authors_Primary&gt;&lt;Authors_Primary&gt;Neville,J.&lt;/Authors_Primary&gt;&lt;Authors_Primary&gt;Taylor,J.&lt;/Authors_Primary&gt;&lt;Authors_Primary&gt;Huggins,J.&lt;/Authors_Primary&gt;&lt;Authors_Primary&gt;Drotar,D.&lt;/Authors_Primary&gt;&lt;Authors_Primary&gt;Brunner,H.I.&lt;/Authors_Primary&gt;&lt;Date_Primary&gt;2012/1&lt;/Date_Primary&gt;&lt;Keywords&gt;Adolescent&lt;/Keywords&gt;&lt;Keywords&gt;Adult&lt;/Keywords&gt;&lt;Keywords&gt;Ambulatory Care Facilities&lt;/Keywords&gt;&lt;Keywords&gt;Antirheumatic Agents&lt;/Keywords&gt;&lt;Keywords&gt;blood&lt;/Keywords&gt;&lt;Keywords&gt;drug therapy&lt;/Keywords&gt;&lt;Keywords&gt;education&lt;/Keywords&gt;&lt;Keywords&gt;Female&lt;/Keywords&gt;&lt;Keywords&gt;Humans&lt;/Keywords&gt;&lt;Keywords&gt;Hydroxychloroquine&lt;/Keywords&gt;&lt;Keywords&gt;Lupus Erythematosus,Systemic&lt;/Keywords&gt;&lt;Keywords&gt;Male&lt;/Keywords&gt;&lt;Keywords&gt;Medication Adherence&lt;/Keywords&gt;&lt;Keywords&gt;methods&lt;/Keywords&gt;&lt;Keywords&gt;Patient Compliance&lt;/Keywords&gt;&lt;Keywords&gt;physiopathology&lt;/Keywords&gt;&lt;Keywords&gt;Questionnaires&lt;/Keywords&gt;&lt;Keywords&gt;Text Messaging&lt;/Keywords&gt;&lt;Keywords&gt;therapeutic use&lt;/Keywords&gt;&lt;Keywords&gt;Young Adult&lt;/Keywords&gt;&lt;Reprint&gt;Not in File&lt;/Reprint&gt;&lt;Start_Page&gt;174&lt;/Start_Page&gt;&lt;End_Page&gt;179&lt;/End_Page&gt;&lt;Periodical&gt;J.Rheumatol.&lt;/Periodical&gt;&lt;Volume&gt;39&lt;/Volume&gt;&lt;Issue&gt;1&lt;/Issue&gt;&lt;Address&gt;Cincinnati Children&amp;apos;s Hospital Medical Center, William Rowe Division of Rheumatology, MLC 4010, 3333 Burnet Avenue, Cincinnati, OH 45229-3039, USA. tracy.ting@cchmc.org&lt;/Address&gt;&lt;Web_URL&gt;PM:22089460&lt;/Web_URL&gt;&lt;ZZ_JournalStdAbbrev&gt;&lt;f name="System"&gt;J.Rheumatol.&lt;/f&gt;&lt;/ZZ_JournalStdAbbrev&gt;&lt;ZZ_WorkformID&gt;1&lt;/ZZ_WorkformID&gt;&lt;/MDL&gt;&lt;/Cite&gt;&lt;/Refman&gt;</w:instrText>
      </w:r>
      <w:r w:rsidR="009B5648">
        <w:fldChar w:fldCharType="separate"/>
      </w:r>
      <w:r>
        <w:t>[20]</w:t>
      </w:r>
      <w:r w:rsidR="009B5648">
        <w:fldChar w:fldCharType="end"/>
      </w:r>
      <w:r w:rsidRPr="00DA4F2D">
        <w:t xml:space="preserve"> and Denmark</w:t>
      </w:r>
      <w:r>
        <w:t xml:space="preserve"> </w:t>
      </w:r>
      <w:r w:rsidR="009B5648">
        <w:fldChar w:fldCharType="begin"/>
      </w:r>
      <w:r>
        <w:instrText xml:space="preserve"> ADDIN REFMGR.CITE &lt;Refman&gt;&lt;Cite&gt;&lt;Author&gt;Strandbygaard&lt;/Author&gt;&lt;Year&gt;2010&lt;/Year&gt;&lt;RecNum&gt;4&lt;/RecNum&gt;&lt;IDText&gt;A daily SMS reminder increases adherence to asthma treatment: a three-month follow-up study&lt;/IDText&gt;&lt;MDL Ref_Type="Journal"&gt;&lt;Ref_Type&gt;Journal&lt;/Ref_Type&gt;&lt;Ref_ID&gt;4&lt;/Ref_ID&gt;&lt;Title_Primary&gt;A daily SMS reminder increases adherence to asthma treatment: a three-month follow-up study&lt;/Title_Primary&gt;&lt;Authors_Primary&gt;Strandbygaard,U.&lt;/Authors_Primary&gt;&lt;Authors_Primary&gt;Thomsen,S.F.&lt;/Authors_Primary&gt;&lt;Authors_Primary&gt;Backer,V.&lt;/Authors_Primary&gt;&lt;Date_Primary&gt;2010/2&lt;/Date_Primary&gt;&lt;Keywords&gt;Adolescent&lt;/Keywords&gt;&lt;Keywords&gt;Adult&lt;/Keywords&gt;&lt;Keywords&gt;Anti-Asthmatic Agents&lt;/Keywords&gt;&lt;Keywords&gt;Asthma&lt;/Keywords&gt;&lt;Keywords&gt;Cellular Phone&lt;/Keywords&gt;&lt;Keywords&gt;drug therapy&lt;/Keywords&gt;&lt;Keywords&gt;Female&lt;/Keywords&gt;&lt;Keywords&gt;Follow-Up Studies&lt;/Keywords&gt;&lt;Keywords&gt;Humans&lt;/Keywords&gt;&lt;Keywords&gt;Male&lt;/Keywords&gt;&lt;Keywords&gt;Medication Adherence&lt;/Keywords&gt;&lt;Keywords&gt;methods&lt;/Keywords&gt;&lt;Keywords&gt;Middle Aged&lt;/Keywords&gt;&lt;Keywords&gt;psychology&lt;/Keywords&gt;&lt;Keywords&gt;Reminder Systems&lt;/Keywords&gt;&lt;Keywords&gt;Respiratory Function Tests&lt;/Keywords&gt;&lt;Keywords&gt;statistics &amp;amp; numerical data&lt;/Keywords&gt;&lt;Keywords&gt;therapeutic use&lt;/Keywords&gt;&lt;Keywords&gt;Treatment Outcome&lt;/Keywords&gt;&lt;Keywords&gt;Young Adult&lt;/Keywords&gt;&lt;Reprint&gt;Not in File&lt;/Reprint&gt;&lt;Start_Page&gt;166&lt;/Start_Page&gt;&lt;End_Page&gt;171&lt;/End_Page&gt;&lt;Periodical&gt;Respir.Med.&lt;/Periodical&gt;&lt;Volume&gt;104&lt;/Volume&gt;&lt;Issue&gt;2&lt;/Issue&gt;&lt;Address&gt;Department of Respiratory Medicine, Bispebjerg Hospital, Copenhagen NV, Denmark&lt;/Address&gt;&lt;Web_URL&gt;PM:19854632&lt;/Web_URL&gt;&lt;ZZ_JournalStdAbbrev&gt;&lt;f name="System"&gt;Respir.Med.&lt;/f&gt;&lt;/ZZ_JournalStdAbbrev&gt;&lt;ZZ_WorkformID&gt;1&lt;/ZZ_WorkformID&gt;&lt;/MDL&gt;&lt;/Cite&gt;&lt;/Refman&gt;</w:instrText>
      </w:r>
      <w:r w:rsidR="009B5648">
        <w:fldChar w:fldCharType="separate"/>
      </w:r>
      <w:r>
        <w:t>[19]</w:t>
      </w:r>
      <w:r w:rsidR="009B5648">
        <w:fldChar w:fldCharType="end"/>
      </w:r>
      <w:r w:rsidRPr="00DA4F2D">
        <w:t xml:space="preserve">). </w:t>
      </w:r>
    </w:p>
    <w:p w:rsidR="00BA6265" w:rsidRPr="00DA4F2D" w:rsidRDefault="00BA6265" w:rsidP="00660039"/>
    <w:p w:rsidR="00BA6265" w:rsidRPr="00DA4F2D" w:rsidRDefault="00BA6265" w:rsidP="00660039">
      <w:r w:rsidRPr="00DA4F2D">
        <w:t>In four studies</w:t>
      </w:r>
      <w:r>
        <w:t xml:space="preserve"> </w:t>
      </w:r>
      <w:r w:rsidR="009B5648">
        <w:fldChar w:fldCharType="begin"/>
      </w:r>
      <w:r>
        <w:instrText xml:space="preserve"> ADDIN REFMGR.CITE &lt;Refman&gt;&lt;Cite&gt;&lt;Author&gt;Pop-Eleches&lt;/Author&gt;&lt;Year&gt;2011&lt;/Year&gt;&lt;RecNum&gt;2&lt;/RecNum&gt;&lt;IDText&gt;Mobile phone technologies improve adherence to antiretroviral treatment in a resource-limited setting: a randomized controlled trial of text message reminders&lt;/IDText&gt;&lt;MDL Ref_Type="Journal"&gt;&lt;Ref_Type&gt;Journal&lt;/Ref_Type&gt;&lt;Ref_ID&gt;2&lt;/Ref_ID&gt;&lt;Title_Primary&gt;Mobile phone technologies improve adherence to antiretroviral treatment in a resource-limited setting: a randomized controlled trial of text message reminders&lt;/Title_Primary&gt;&lt;Authors_Primary&gt;Pop-Eleches,C.&lt;/Authors_Primary&gt;&lt;Authors_Primary&gt;Thirumurthy,H.&lt;/Authors_Primary&gt;&lt;Authors_Primary&gt;Habyarimana,J.P.&lt;/Authors_Primary&gt;&lt;Authors_Primary&gt;Zivin,J.G.&lt;/Authors_Primary&gt;&lt;Authors_Primary&gt;Goldstein,M.P.&lt;/Authors_Primary&gt;&lt;Authors_Primary&gt;de,Walque D.&lt;/Authors_Primary&gt;&lt;Authors_Primary&gt;MacKeen,L.&lt;/Authors_Primary&gt;&lt;Authors_Primary&gt;Haberer,J.&lt;/Authors_Primary&gt;&lt;Authors_Primary&gt;Kimaiyo,S.&lt;/Authors_Primary&gt;&lt;Authors_Primary&gt;Sidle,J.&lt;/Authors_Primary&gt;&lt;Authors_Primary&gt;Ngare,D.&lt;/Authors_Primary&gt;&lt;Authors_Primary&gt;Bangsberg,D.R.&lt;/Authors_Primary&gt;&lt;Date_Primary&gt;2011/3/27&lt;/Date_Primary&gt;&lt;Keywords&gt;Adult&lt;/Keywords&gt;&lt;Keywords&gt;Anti-Retroviral Agents&lt;/Keywords&gt;&lt;Keywords&gt;Cellular Phone&lt;/Keywords&gt;&lt;Keywords&gt;drug therapy&lt;/Keywords&gt;&lt;Keywords&gt;Female&lt;/Keywords&gt;&lt;Keywords&gt;Health Services Accessibility&lt;/Keywords&gt;&lt;Keywords&gt;HIV Infections&lt;/Keywords&gt;&lt;Keywords&gt;Humans&lt;/Keywords&gt;&lt;Keywords&gt;instrumentation&lt;/Keywords&gt;&lt;Keywords&gt;Kenya&lt;/Keywords&gt;&lt;Keywords&gt;Male&lt;/Keywords&gt;&lt;Keywords&gt;Patient Compliance&lt;/Keywords&gt;&lt;Keywords&gt;Reminder Systems&lt;/Keywords&gt;&lt;Keywords&gt;Rural Health&lt;/Keywords&gt;&lt;Keywords&gt;standards&lt;/Keywords&gt;&lt;Keywords&gt;therapeutic use&lt;/Keywords&gt;&lt;Reprint&gt;Not in File&lt;/Reprint&gt;&lt;Start_Page&gt;825&lt;/Start_Page&gt;&lt;End_Page&gt;834&lt;/End_Page&gt;&lt;Periodical&gt;AIDS&lt;/Periodical&gt;&lt;Volume&gt;25&lt;/Volume&gt;&lt;Issue&gt;6&lt;/Issue&gt;&lt;Address&gt;School of International and Public Affairs, Columbia University, New York, New York, USA&lt;/Address&gt;&lt;Web_URL&gt;PM:21252632&lt;/Web_URL&gt;&lt;ZZ_JournalStdAbbrev&gt;&lt;f name="System"&gt;AIDS&lt;/f&gt;&lt;/ZZ_JournalStdAbbrev&gt;&lt;ZZ_WorkformID&gt;1&lt;/ZZ_WorkformID&gt;&lt;/MDL&gt;&lt;/Cite&gt;&lt;Cite&gt;&lt;Author&gt;Strandbygaard&lt;/Author&gt;&lt;Year&gt;2010&lt;/Year&gt;&lt;RecNum&gt;4&lt;/RecNum&gt;&lt;IDText&gt;A daily SMS reminder increases adherence to asthma treatment: a three-month follow-up study&lt;/IDText&gt;&lt;MDL Ref_Type="Journal"&gt;&lt;Ref_Type&gt;Journal&lt;/Ref_Type&gt;&lt;Ref_ID&gt;4&lt;/Ref_ID&gt;&lt;Title_Primary&gt;A daily SMS reminder increases adherence to asthma treatment: a three-month follow-up study&lt;/Title_Primary&gt;&lt;Authors_Primary&gt;Strandbygaard,U.&lt;/Authors_Primary&gt;&lt;Authors_Primary&gt;Thomsen,S.F.&lt;/Authors_Primary&gt;&lt;Authors_Primary&gt;Backer,V.&lt;/Authors_Primary&gt;&lt;Date_Primary&gt;2010/2&lt;/Date_Primary&gt;&lt;Keywords&gt;Adolescent&lt;/Keywords&gt;&lt;Keywords&gt;Adult&lt;/Keywords&gt;&lt;Keywords&gt;Anti-Asthmatic Agents&lt;/Keywords&gt;&lt;Keywords&gt;Asthma&lt;/Keywords&gt;&lt;Keywords&gt;Cellular Phone&lt;/Keywords&gt;&lt;Keywords&gt;drug therapy&lt;/Keywords&gt;&lt;Keywords&gt;Female&lt;/Keywords&gt;&lt;Keywords&gt;Follow-Up Studies&lt;/Keywords&gt;&lt;Keywords&gt;Humans&lt;/Keywords&gt;&lt;Keywords&gt;Male&lt;/Keywords&gt;&lt;Keywords&gt;Medication Adherence&lt;/Keywords&gt;&lt;Keywords&gt;methods&lt;/Keywords&gt;&lt;Keywords&gt;Middle Aged&lt;/Keywords&gt;&lt;Keywords&gt;psychology&lt;/Keywords&gt;&lt;Keywords&gt;Reminder Systems&lt;/Keywords&gt;&lt;Keywords&gt;Respiratory Function Tests&lt;/Keywords&gt;&lt;Keywords&gt;statistics &amp;amp; numerical data&lt;/Keywords&gt;&lt;Keywords&gt;therapeutic use&lt;/Keywords&gt;&lt;Keywords&gt;Treatment Outcome&lt;/Keywords&gt;&lt;Keywords&gt;Young Adult&lt;/Keywords&gt;&lt;Reprint&gt;Not in File&lt;/Reprint&gt;&lt;Start_Page&gt;166&lt;/Start_Page&gt;&lt;End_Page&gt;171&lt;/End_Page&gt;&lt;Periodical&gt;Respir.Med.&lt;/Periodical&gt;&lt;Volume&gt;104&lt;/Volume&gt;&lt;Issue&gt;2&lt;/Issue&gt;&lt;Address&gt;Department of Respiratory Medicine, Bispebjerg Hospital, Copenhagen NV, Denmark&lt;/Address&gt;&lt;Web_URL&gt;PM:19854632&lt;/Web_URL&gt;&lt;ZZ_JournalStdAbbrev&gt;&lt;f name="System"&gt;Respir.Med.&lt;/f&gt;&lt;/ZZ_JournalStdAbbrev&gt;&lt;ZZ_WorkformID&gt;1&lt;/ZZ_WorkformID&gt;&lt;/MDL&gt;&lt;/Cite&gt;&lt;Cite&gt;&lt;Author&gt;Ting&lt;/Author&gt;&lt;Year&gt;2012&lt;/Year&gt;&lt;RecNum&gt;5&lt;/RecNum&gt;&lt;IDText&gt;Usefulness of cellular text messaging for improving adherence among adolescents and young adults with systemic lupus erythematosus&lt;/IDText&gt;&lt;MDL Ref_Type="Journal"&gt;&lt;Ref_Type&gt;Journal&lt;/Ref_Type&gt;&lt;Ref_ID&gt;5&lt;/Ref_ID&gt;&lt;Title_Primary&gt;Usefulness of cellular text messaging for improving adherence among adolescents and young adults with systemic lupus erythematosus&lt;/Title_Primary&gt;&lt;Authors_Primary&gt;Ting,T.V.&lt;/Authors_Primary&gt;&lt;Authors_Primary&gt;Kudalkar,D.&lt;/Authors_Primary&gt;&lt;Authors_Primary&gt;Nelson,S.&lt;/Authors_Primary&gt;&lt;Authors_Primary&gt;Cortina,S.&lt;/Authors_Primary&gt;&lt;Authors_Primary&gt;Pendl,J.&lt;/Authors_Primary&gt;&lt;Authors_Primary&gt;Budhani,S.&lt;/Authors_Primary&gt;&lt;Authors_Primary&gt;Neville,J.&lt;/Authors_Primary&gt;&lt;Authors_Primary&gt;Taylor,J.&lt;/Authors_Primary&gt;&lt;Authors_Primary&gt;Huggins,J.&lt;/Authors_Primary&gt;&lt;Authors_Primary&gt;Drotar,D.&lt;/Authors_Primary&gt;&lt;Authors_Primary&gt;Brunner,H.I.&lt;/Authors_Primary&gt;&lt;Date_Primary&gt;2012/1&lt;/Date_Primary&gt;&lt;Keywords&gt;Adolescent&lt;/Keywords&gt;&lt;Keywords&gt;Adult&lt;/Keywords&gt;&lt;Keywords&gt;Ambulatory Care Facilities&lt;/Keywords&gt;&lt;Keywords&gt;Antirheumatic Agents&lt;/Keywords&gt;&lt;Keywords&gt;blood&lt;/Keywords&gt;&lt;Keywords&gt;drug therapy&lt;/Keywords&gt;&lt;Keywords&gt;education&lt;/Keywords&gt;&lt;Keywords&gt;Female&lt;/Keywords&gt;&lt;Keywords&gt;Humans&lt;/Keywords&gt;&lt;Keywords&gt;Hydroxychloroquine&lt;/Keywords&gt;&lt;Keywords&gt;Lupus Erythematosus,Systemic&lt;/Keywords&gt;&lt;Keywords&gt;Male&lt;/Keywords&gt;&lt;Keywords&gt;Medication Adherence&lt;/Keywords&gt;&lt;Keywords&gt;methods&lt;/Keywords&gt;&lt;Keywords&gt;Patient Compliance&lt;/Keywords&gt;&lt;Keywords&gt;physiopathology&lt;/Keywords&gt;&lt;Keywords&gt;Questionnaires&lt;/Keywords&gt;&lt;Keywords&gt;Text Messaging&lt;/Keywords&gt;&lt;Keywords&gt;therapeutic use&lt;/Keywords&gt;&lt;Keywords&gt;Young Adult&lt;/Keywords&gt;&lt;Reprint&gt;Not in File&lt;/Reprint&gt;&lt;Start_Page&gt;174&lt;/Start_Page&gt;&lt;End_Page&gt;179&lt;/End_Page&gt;&lt;Periodical&gt;J.Rheumatol.&lt;/Periodical&gt;&lt;Volume&gt;39&lt;/Volume&gt;&lt;Issue&gt;1&lt;/Issue&gt;&lt;Address&gt;Cincinnati Children&amp;apos;s Hospital Medical Center, William Rowe Division of Rheumatology, MLC 4010, 3333 Burnet Avenue, Cincinnati, OH 45229-3039, USA. tracy.ting@cchmc.org&lt;/Address&gt;&lt;Web_URL&gt;PM:22089460&lt;/Web_URL&gt;&lt;ZZ_JournalStdAbbrev&gt;&lt;f name="System"&gt;J.Rheumatol.&lt;/f&gt;&lt;/ZZ_JournalStdAbbrev&gt;&lt;ZZ_WorkformID&gt;1&lt;/ZZ_WorkformID&gt;&lt;/MDL&gt;&lt;/Cite&gt;&lt;Cite&gt;&lt;Author&gt;da Costa&lt;/Author&gt;&lt;Year&gt;2012&lt;/Year&gt;&lt;RecNum&gt;3090&lt;/RecNum&gt;&lt;IDText&gt;Results of a randomized controlled trial to assess the effects of a mobile SMS-based intervention on treatment adherence in HIV/AIDS-infected Brazilian women and impressions and satisfaction with respect to incoming messages&lt;/IDText&gt;&lt;MDL Ref_Type="Journal"&gt;&lt;Ref_Type&gt;Journal&lt;/Ref_Type&gt;&lt;Ref_ID&gt;3090&lt;/Ref_ID&gt;&lt;Title_Primary&gt;Results of a randomized controlled trial to assess the effects of a mobile SMS-based intervention on treatment adherence in HIV/AIDS-infected Brazilian women and impressions and satisfaction with respect to incoming messages&lt;/Title_Primary&gt;&lt;Authors_Primary&gt;da Costa,T.M.&lt;/Authors_Primary&gt;&lt;Authors_Primary&gt;Barbosa,B.J.&lt;/Authors_Primary&gt;&lt;Authors_Primary&gt;Gomes e Costa DA&lt;/Authors_Primary&gt;&lt;Authors_Primary&gt;Sigulem,D.&lt;/Authors_Primary&gt;&lt;Authors_Primary&gt;de Fatima,Marin H.&lt;/Authors_Primary&gt;&lt;Authors_Primary&gt;Filho,A.C.&lt;/Authors_Primary&gt;&lt;Authors_Primary&gt;Pisa,I.T.&lt;/Authors_Primary&gt;&lt;Date_Primary&gt;2012/4&lt;/Date_Primary&gt;&lt;Keywords&gt;Acquired Immunodeficiency Syndrome&lt;/Keywords&gt;&lt;Keywords&gt;administration &amp;amp; dosage&lt;/Keywords&gt;&lt;Keywords&gt;Adult&lt;/Keywords&gt;&lt;Keywords&gt;Anti-HIV Agents&lt;/Keywords&gt;&lt;Keywords&gt;Brazil&lt;/Keywords&gt;&lt;Keywords&gt;Case-Control Studies&lt;/Keywords&gt;&lt;Keywords&gt;drug therapy&lt;/Keywords&gt;&lt;Keywords&gt;Female&lt;/Keywords&gt;&lt;Keywords&gt;Health&lt;/Keywords&gt;&lt;Keywords&gt;Health Behavior&lt;/Keywords&gt;&lt;Keywords&gt;Health Services Accessibility&lt;/Keywords&gt;&lt;Keywords&gt;HIV Infections&lt;/Keywords&gt;&lt;Keywords&gt;Hiv-1&lt;/Keywords&gt;&lt;Keywords&gt;Humans&lt;/Keywords&gt;&lt;Keywords&gt;Medication Adherence&lt;/Keywords&gt;&lt;Keywords&gt;pathogenicity&lt;/Keywords&gt;&lt;Keywords&gt;Patient Compliance&lt;/Keywords&gt;&lt;Keywords&gt;Persuasive Communication&lt;/Keywords&gt;&lt;Keywords&gt;Reminder Systems&lt;/Keywords&gt;&lt;Keywords&gt;Research&lt;/Keywords&gt;&lt;Keywords&gt;standards&lt;/Keywords&gt;&lt;Keywords&gt;Text Messaging&lt;/Keywords&gt;&lt;Keywords&gt;therapy&lt;/Keywords&gt;&lt;Keywords&gt;Treatment Outcome&lt;/Keywords&gt;&lt;Reprint&gt;Not in File&lt;/Reprint&gt;&lt;Start_Page&gt;257&lt;/Start_Page&gt;&lt;End_Page&gt;269&lt;/End_Page&gt;&lt;Periodical&gt;Int.J.Med.Inform.&lt;/Periodical&gt;&lt;Volume&gt;81&lt;/Volume&gt;&lt;Issue&gt;4&lt;/Issue&gt;&lt;Address&gt;Health Informatics Postgraduate Program, Universidade Federal de Sao Paulo (UNIFESP), Sao Paulo, SP, Brazil. tmartinicosta@gmail.com&lt;/Address&gt;&lt;Web_URL&gt;PM:22296762&lt;/Web_URL&gt;&lt;ZZ_JournalStdAbbrev&gt;&lt;f name="System"&gt;Int.J.Med.Inform.&lt;/f&gt;&lt;/ZZ_JournalStdAbbrev&gt;&lt;ZZ_WorkformID&gt;1&lt;/ZZ_WorkformID&gt;&lt;/MDL&gt;&lt;/Cite&gt;&lt;/Refman&gt;</w:instrText>
      </w:r>
      <w:r w:rsidR="009B5648">
        <w:fldChar w:fldCharType="separate"/>
      </w:r>
      <w:r>
        <w:t>[16-20]</w:t>
      </w:r>
      <w:r w:rsidR="009B5648">
        <w:fldChar w:fldCharType="end"/>
      </w:r>
      <w:r w:rsidRPr="00DA4F2D">
        <w:t xml:space="preserve"> participation was based on individuals experiencing a health condition. In one study</w:t>
      </w:r>
      <w:r>
        <w:t xml:space="preserve"> </w:t>
      </w:r>
      <w:r w:rsidR="009B5648">
        <w:fldChar w:fldCharType="begin"/>
      </w:r>
      <w:r>
        <w:instrText xml:space="preserve"> ADDIN REFMGR.CITE &lt;Refman&gt;&lt;Cite&gt;&lt;Author&gt;Sharma&lt;/Author&gt;&lt;Year&gt;2011&lt;/Year&gt;&lt;RecNum&gt;3&lt;/RecNum&gt;&lt;IDText&gt;Mobile-phone text messaging (SMS) for providing oral health education to mothers of preschool children in Belgaum City&lt;/IDText&gt;&lt;MDL Ref_Type="Journal"&gt;&lt;Ref_Type&gt;Journal&lt;/Ref_Type&gt;&lt;Ref_ID&gt;3&lt;/Ref_ID&gt;&lt;Title_Primary&gt;Mobile-phone text messaging (SMS) for providing oral health education to mothers of preschool children in Belgaum City&lt;/Title_Primary&gt;&lt;Authors_Primary&gt;Sharma,R.&lt;/Authors_Primary&gt;&lt;Authors_Primary&gt;Hebbal,M.&lt;/Authors_Primary&gt;&lt;Authors_Primary&gt;Ankola,A.V.&lt;/Authors_Primary&gt;&lt;Authors_Primary&gt;Murugabupathy,V.&lt;/Authors_Primary&gt;&lt;Date_Primary&gt;2011&lt;/Date_Primary&gt;&lt;Keywords&gt;Analysis of Variance&lt;/Keywords&gt;&lt;Keywords&gt;Child,Preschool&lt;/Keywords&gt;&lt;Keywords&gt;Dental Plaque&lt;/Keywords&gt;&lt;Keywords&gt;Dental Plaque Index&lt;/Keywords&gt;&lt;Keywords&gt;education&lt;/Keywords&gt;&lt;Keywords&gt;Female&lt;/Keywords&gt;&lt;Keywords&gt;Health Education,Dental&lt;/Keywords&gt;&lt;Keywords&gt;Health Knowledge,Attitudes,Practice&lt;/Keywords&gt;&lt;Keywords&gt;Humans&lt;/Keywords&gt;&lt;Keywords&gt;India&lt;/Keywords&gt;&lt;Keywords&gt;Infant&lt;/Keywords&gt;&lt;Keywords&gt;Male&lt;/Keywords&gt;&lt;Keywords&gt;methods&lt;/Keywords&gt;&lt;Keywords&gt;Mothers&lt;/Keywords&gt;&lt;Keywords&gt;Pamphlets&lt;/Keywords&gt;&lt;Keywords&gt;prevention &amp;amp; control&lt;/Keywords&gt;&lt;Keywords&gt;Questionnaires&lt;/Keywords&gt;&lt;Keywords&gt;Text Messaging&lt;/Keywords&gt;&lt;Keywords&gt;Urban Population&lt;/Keywords&gt;&lt;Reprint&gt;Not in File&lt;/Reprint&gt;&lt;Start_Page&gt;432&lt;/Start_Page&gt;&lt;End_Page&gt;436&lt;/End_Page&gt;&lt;Periodical&gt;J.Telemed.Telecare.&lt;/Periodical&gt;&lt;Volume&gt;17&lt;/Volume&gt;&lt;Issue&gt;8&lt;/Issue&gt;&lt;Address&gt;KLE VK Institute of Dental Sciences, KLE University, Belgaum, India. ratika2808@gmail.com&lt;/Address&gt;&lt;Web_URL&gt;PM:22025742&lt;/Web_URL&gt;&lt;ZZ_JournalStdAbbrev&gt;&lt;f name="System"&gt;J.Telemed.Telecare.&lt;/f&gt;&lt;/ZZ_JournalStdAbbrev&gt;&lt;ZZ_WorkformID&gt;1&lt;/ZZ_WorkformID&gt;&lt;/MDL&gt;&lt;/Cite&gt;&lt;/Refman&gt;</w:instrText>
      </w:r>
      <w:r w:rsidR="009B5648">
        <w:fldChar w:fldCharType="separate"/>
      </w:r>
      <w:r>
        <w:t>[18]</w:t>
      </w:r>
      <w:r w:rsidR="009B5648">
        <w:fldChar w:fldCharType="end"/>
      </w:r>
      <w:r w:rsidRPr="00DA4F2D">
        <w:t xml:space="preserve"> the participants were mothers of children who all attended the same preschool. In this study, the intervention targeted children’s carers with the view to improve a child health outcome</w:t>
      </w:r>
      <w:r>
        <w:t xml:space="preserve"> (</w:t>
      </w:r>
      <w:r w:rsidRPr="00DA4F2D">
        <w:t>reducing the Visible Plaque Index on children’s teeth</w:t>
      </w:r>
      <w:r>
        <w:t>)</w:t>
      </w:r>
      <w:r w:rsidRPr="00DA4F2D">
        <w:t>. Participants in the other studies were all aged over 18 years.</w:t>
      </w:r>
    </w:p>
    <w:p w:rsidR="00BA6265" w:rsidRPr="006A7D9D" w:rsidRDefault="00BA6265" w:rsidP="00C96163">
      <w:pPr>
        <w:pStyle w:val="Heading7"/>
      </w:pPr>
      <w:r w:rsidRPr="006A7D9D">
        <w:t>Study design</w:t>
      </w:r>
    </w:p>
    <w:p w:rsidR="008041C8" w:rsidRDefault="00BA6265" w:rsidP="008041C8">
      <w:pPr>
        <w:spacing w:after="960"/>
      </w:pPr>
      <w:r w:rsidRPr="00DA4F2D">
        <w:t xml:space="preserve">Study designs included </w:t>
      </w:r>
      <w:r>
        <w:t>were</w:t>
      </w:r>
      <w:r w:rsidRPr="00DA4F2D">
        <w:t xml:space="preserve"> one meta-analysis</w:t>
      </w:r>
      <w:r>
        <w:t xml:space="preserve"> </w:t>
      </w:r>
      <w:r w:rsidR="009B5648">
        <w:fldChar w:fldCharType="begin"/>
      </w:r>
      <w:r>
        <w:instrText xml:space="preserve"> ADDIN REFMGR.CITE &lt;Refman&gt;&lt;Cite&gt;&lt;Author&gt;Horvath&lt;/Author&gt;&lt;Year&gt;2012&lt;/Year&gt;&lt;RecNum&gt;1&lt;/RecNum&gt;&lt;IDText&gt;Mobile phone text messaging for promoting adherence to antiretroviral therapy in patients with HIV infection&lt;/IDText&gt;&lt;MDL Ref_Type="Journal"&gt;&lt;Ref_Type&gt;Journal&lt;/Ref_Type&gt;&lt;Ref_ID&gt;1&lt;/Ref_ID&gt;&lt;Title_Primary&gt;Mobile phone text messaging for promoting adherence to antiretroviral therapy in patients with HIV infection&lt;/Title_Primary&gt;&lt;Authors_Primary&gt;Horvath,T.&lt;/Authors_Primary&gt;&lt;Authors_Primary&gt;Azman,H.&lt;/Authors_Primary&gt;&lt;Authors_Primary&gt;Kennedy,G.E.&lt;/Authors_Primary&gt;&lt;Authors_Primary&gt;Rutherford,G.W.&lt;/Authors_Primary&gt;&lt;Date_Primary&gt;2012&lt;/Date_Primary&gt;&lt;Reprint&gt;Not in File&lt;/Reprint&gt;&lt;Start_Page&gt;CD009756&lt;/Start_Page&gt;&lt;Periodical&gt;Cochrane.Database.Syst.Rev.&lt;/Periodical&gt;&lt;Volume&gt;3&lt;/Volume&gt;&lt;Address&gt;Global Health Sciences, University of California, San Francisco, 50 Beale Street, Suite 1200, SanFrancisco, California, 94105, USA. thorvath@psg.ucsf.edu&lt;/Address&gt;&lt;Web_URL&gt;PM:22419345&lt;/Web_URL&gt;&lt;ZZ_JournalStdAbbrev&gt;&lt;f name="System"&gt;Cochrane.Database.Syst.Rev.&lt;/f&gt;&lt;/ZZ_JournalStdAbbrev&gt;&lt;ZZ_WorkformID&gt;1&lt;/ZZ_WorkformID&gt;&lt;/MDL&gt;&lt;/Cite&gt;&lt;/Refman&gt;</w:instrText>
      </w:r>
      <w:r w:rsidR="009B5648">
        <w:fldChar w:fldCharType="separate"/>
      </w:r>
      <w:r>
        <w:t>[21]</w:t>
      </w:r>
      <w:r w:rsidR="009B5648">
        <w:fldChar w:fldCharType="end"/>
      </w:r>
      <w:r w:rsidRPr="00DA4F2D">
        <w:t xml:space="preserve"> and five RCTs</w:t>
      </w:r>
      <w:r>
        <w:t xml:space="preserve"> </w:t>
      </w:r>
      <w:r w:rsidR="009B5648">
        <w:fldChar w:fldCharType="begin"/>
      </w:r>
      <w:r>
        <w:instrText xml:space="preserve"> ADDIN REFMGR.CITE &lt;Refman&gt;&lt;Cite&gt;&lt;Author&gt;da Costa&lt;/Author&gt;&lt;Year&gt;2012&lt;/Year&gt;&lt;RecNum&gt;3090&lt;/RecNum&gt;&lt;IDText&gt;Results of a randomized controlled trial to assess the effects of a mobile SMS-based intervention on treatment adherence in HIV/AIDS-infected Brazilian women and impressions and satisfaction with respect to incoming messages&lt;/IDText&gt;&lt;MDL Ref_Type="Journal"&gt;&lt;Ref_Type&gt;Journal&lt;/Ref_Type&gt;&lt;Ref_ID&gt;3090&lt;/Ref_ID&gt;&lt;Title_Primary&gt;Results of a randomized controlled trial to assess the effects of a mobile SMS-based intervention on treatment adherence in HIV/AIDS-infected Brazilian women and impressions and satisfaction with respect to incoming messages&lt;/Title_Primary&gt;&lt;Authors_Primary&gt;da Costa,T.M.&lt;/Authors_Primary&gt;&lt;Authors_Primary&gt;Barbosa,B.J.&lt;/Authors_Primary&gt;&lt;Authors_Primary&gt;Gomes e Costa DA&lt;/Authors_Primary&gt;&lt;Authors_Primary&gt;Sigulem,D.&lt;/Authors_Primary&gt;&lt;Authors_Primary&gt;de Fatima,Marin H.&lt;/Authors_Primary&gt;&lt;Authors_Primary&gt;Filho,A.C.&lt;/Authors_Primary&gt;&lt;Authors_Primary&gt;Pisa,I.T.&lt;/Authors_Primary&gt;&lt;Date_Primary&gt;2012/4&lt;/Date_Primary&gt;&lt;Keywords&gt;Acquired Immunodeficiency Syndrome&lt;/Keywords&gt;&lt;Keywords&gt;administration &amp;amp; dosage&lt;/Keywords&gt;&lt;Keywords&gt;Adult&lt;/Keywords&gt;&lt;Keywords&gt;Anti-HIV Agents&lt;/Keywords&gt;&lt;Keywords&gt;Brazil&lt;/Keywords&gt;&lt;Keywords&gt;Case-Control Studies&lt;/Keywords&gt;&lt;Keywords&gt;drug therapy&lt;/Keywords&gt;&lt;Keywords&gt;Female&lt;/Keywords&gt;&lt;Keywords&gt;Health&lt;/Keywords&gt;&lt;Keywords&gt;Health Behavior&lt;/Keywords&gt;&lt;Keywords&gt;Health Services Accessibility&lt;/Keywords&gt;&lt;Keywords&gt;HIV Infections&lt;/Keywords&gt;&lt;Keywords&gt;Hiv-1&lt;/Keywords&gt;&lt;Keywords&gt;Humans&lt;/Keywords&gt;&lt;Keywords&gt;Medication Adherence&lt;/Keywords&gt;&lt;Keywords&gt;pathogenicity&lt;/Keywords&gt;&lt;Keywords&gt;Patient Compliance&lt;/Keywords&gt;&lt;Keywords&gt;Persuasive Communication&lt;/Keywords&gt;&lt;Keywords&gt;Reminder Systems&lt;/Keywords&gt;&lt;Keywords&gt;Research&lt;/Keywords&gt;&lt;Keywords&gt;standards&lt;/Keywords&gt;&lt;Keywords&gt;Text Messaging&lt;/Keywords&gt;&lt;Keywords&gt;therapy&lt;/Keywords&gt;&lt;Keywords&gt;Treatment Outcome&lt;/Keywords&gt;&lt;Reprint&gt;Not in File&lt;/Reprint&gt;&lt;Start_Page&gt;257&lt;/Start_Page&gt;&lt;End_Page&gt;269&lt;/End_Page&gt;&lt;Periodical&gt;Int.J.Med.Inform.&lt;/Periodical&gt;&lt;Volume&gt;81&lt;/Volume&gt;&lt;Issue&gt;4&lt;/Issue&gt;&lt;Address&gt;Health Informatics Postgraduate Program, Universidade Federal de Sao Paulo (UNIFESP), Sao Paulo, SP, Brazil. tmartinicosta@gmail.com&lt;/Address&gt;&lt;Web_URL&gt;PM:22296762&lt;/Web_URL&gt;&lt;ZZ_JournalStdAbbrev&gt;&lt;f name="System"&gt;Int.J.Med.Inform.&lt;/f&gt;&lt;/ZZ_JournalStdAbbrev&gt;&lt;ZZ_WorkformID&gt;1&lt;/ZZ_WorkformID&gt;&lt;/MDL&gt;&lt;/Cite&gt;&lt;Cite&gt;&lt;Author&gt;Pop-Eleches&lt;/Author&gt;&lt;Year&gt;2011&lt;/Year&gt;&lt;RecNum&gt;2&lt;/RecNum&gt;&lt;IDText&gt;Mobile phone technologies improve adherence to antiretroviral treatment in a resource-limited setting: a randomized controlled trial of text message reminders&lt;/IDText&gt;&lt;MDL Ref_Type="Journal"&gt;&lt;Ref_Type&gt;Journal&lt;/Ref_Type&gt;&lt;Ref_ID&gt;2&lt;/Ref_ID&gt;&lt;Title_Primary&gt;Mobile phone technologies improve adherence to antiretroviral treatment in a resource-limited setting: a randomized controlled trial of text message reminders&lt;/Title_Primary&gt;&lt;Authors_Primary&gt;Pop-Eleches,C.&lt;/Authors_Primary&gt;&lt;Authors_Primary&gt;Thirumurthy,H.&lt;/Authors_Primary&gt;&lt;Authors_Primary&gt;Habyarimana,J.P.&lt;/Authors_Primary&gt;&lt;Authors_Primary&gt;Zivin,J.G.&lt;/Authors_Primary&gt;&lt;Authors_Primary&gt;Goldstein,M.P.&lt;/Authors_Primary&gt;&lt;Authors_Primary&gt;de,Walque D.&lt;/Authors_Primary&gt;&lt;Authors_Primary&gt;MacKeen,L.&lt;/Authors_Primary&gt;&lt;Authors_Primary&gt;Haberer,J.&lt;/Authors_Primary&gt;&lt;Authors_Primary&gt;Kimaiyo,S.&lt;/Authors_Primary&gt;&lt;Authors_Primary&gt;Sidle,J.&lt;/Authors_Primary&gt;&lt;Authors_Primary&gt;Ngare,D.&lt;/Authors_Primary&gt;&lt;Authors_Primary&gt;Bangsberg,D.R.&lt;/Authors_Primary&gt;&lt;Date_Primary&gt;2011/3/27&lt;/Date_Primary&gt;&lt;Keywords&gt;Adult&lt;/Keywords&gt;&lt;Keywords&gt;Anti-Retroviral Agents&lt;/Keywords&gt;&lt;Keywords&gt;Cellular Phone&lt;/Keywords&gt;&lt;Keywords&gt;drug therapy&lt;/Keywords&gt;&lt;Keywords&gt;Female&lt;/Keywords&gt;&lt;Keywords&gt;Health Services Accessibility&lt;/Keywords&gt;&lt;Keywords&gt;HIV Infections&lt;/Keywords&gt;&lt;Keywords&gt;Humans&lt;/Keywords&gt;&lt;Keywords&gt;instrumentation&lt;/Keywords&gt;&lt;Keywords&gt;Kenya&lt;/Keywords&gt;&lt;Keywords&gt;Male&lt;/Keywords&gt;&lt;Keywords&gt;Patient Compliance&lt;/Keywords&gt;&lt;Keywords&gt;Reminder Systems&lt;/Keywords&gt;&lt;Keywords&gt;Rural Health&lt;/Keywords&gt;&lt;Keywords&gt;standards&lt;/Keywords&gt;&lt;Keywords&gt;therapeutic use&lt;/Keywords&gt;&lt;Reprint&gt;Not in File&lt;/Reprint&gt;&lt;Start_Page&gt;825&lt;/Start_Page&gt;&lt;End_Page&gt;834&lt;/End_Page&gt;&lt;Periodical&gt;AIDS&lt;/Periodical&gt;&lt;Volume&gt;25&lt;/Volume&gt;&lt;Issue&gt;6&lt;/Issue&gt;&lt;Address&gt;School of International and Public Affairs, Columbia University, New York, New York, USA&lt;/Address&gt;&lt;Web_URL&gt;PM:21252632&lt;/Web_URL&gt;&lt;ZZ_JournalStdAbbrev&gt;&lt;f name="System"&gt;AIDS&lt;/f&gt;&lt;/ZZ_JournalStdAbbrev&gt;&lt;ZZ_WorkformID&gt;1&lt;/ZZ_WorkformID&gt;&lt;/MDL&gt;&lt;/Cite&gt;&lt;Cite&gt;&lt;Author&gt;Sharma&lt;/Author&gt;&lt;Year&gt;2011&lt;/Year&gt;&lt;RecNum&gt;3&lt;/RecNum&gt;&lt;IDText&gt;Mobile-phone text messaging (SMS) for providing oral health education to mothers of preschool children in Belgaum City&lt;/IDText&gt;&lt;MDL Ref_Type="Journal"&gt;&lt;Ref_Type&gt;Journal&lt;/Ref_Type&gt;&lt;Ref_ID&gt;3&lt;/Ref_ID&gt;&lt;Title_Primary&gt;Mobile-phone text messaging (SMS) for providing oral health education to mothers of preschool children in Belgaum City&lt;/Title_Primary&gt;&lt;Authors_Primary&gt;Sharma,R.&lt;/Authors_Primary&gt;&lt;Authors_Primary&gt;Hebbal,M.&lt;/Authors_Primary&gt;&lt;Authors_Primary&gt;Ankola,A.V.&lt;/Authors_Primary&gt;&lt;Authors_Primary&gt;Murugabupathy,V.&lt;/Authors_Primary&gt;&lt;Date_Primary&gt;2011&lt;/Date_Primary&gt;&lt;Keywords&gt;Analysis of Variance&lt;/Keywords&gt;&lt;Keywords&gt;Child,Preschool&lt;/Keywords&gt;&lt;Keywords&gt;Dental Plaque&lt;/Keywords&gt;&lt;Keywords&gt;Dental Plaque Index&lt;/Keywords&gt;&lt;Keywords&gt;education&lt;/Keywords&gt;&lt;Keywords&gt;Female&lt;/Keywords&gt;&lt;Keywords&gt;Health Education,Dental&lt;/Keywords&gt;&lt;Keywords&gt;Health Knowledge,Attitudes,Practice&lt;/Keywords&gt;&lt;Keywords&gt;Humans&lt;/Keywords&gt;&lt;Keywords&gt;India&lt;/Keywords&gt;&lt;Keywords&gt;Infant&lt;/Keywords&gt;&lt;Keywords&gt;Male&lt;/Keywords&gt;&lt;Keywords&gt;methods&lt;/Keywords&gt;&lt;Keywords&gt;Mothers&lt;/Keywords&gt;&lt;Keywords&gt;Pamphlets&lt;/Keywords&gt;&lt;Keywords&gt;prevention &amp;amp; control&lt;/Keywords&gt;&lt;Keywords&gt;Questionnaires&lt;/Keywords&gt;&lt;Keywords&gt;Text Messaging&lt;/Keywords&gt;&lt;Keywords&gt;Urban Population&lt;/Keywords&gt;&lt;Reprint&gt;Not in File&lt;/Reprint&gt;&lt;Start_Page&gt;432&lt;/Start_Page&gt;&lt;End_Page&gt;436&lt;/End_Page&gt;&lt;Periodical&gt;J.Telemed.Telecare.&lt;/Periodical&gt;&lt;Volume&gt;17&lt;/Volume&gt;&lt;Issue&gt;8&lt;/Issue&gt;&lt;Address&gt;KLE VK Institute of Dental Sciences, KLE University, Belgaum, India. ratika2808@gmail.com&lt;/Address&gt;&lt;Web_URL&gt;PM:22025742&lt;/Web_URL&gt;&lt;ZZ_JournalStdAbbrev&gt;&lt;f name="System"&gt;J.Telemed.Telecare.&lt;/f&gt;&lt;/ZZ_JournalStdAbbrev&gt;&lt;ZZ_WorkformID&gt;1&lt;/ZZ_WorkformID&gt;&lt;/MDL&gt;&lt;/Cite&gt;&lt;Cite&gt;&lt;Author&gt;Strandbygaard&lt;/Author&gt;&lt;Year&gt;2010&lt;/Year&gt;&lt;RecNum&gt;4&lt;/RecNum&gt;&lt;IDText&gt;A daily SMS reminder increases adherence to asthma treatment: a three-month follow-up study&lt;/IDText&gt;&lt;MDL Ref_Type="Journal"&gt;&lt;Ref_Type&gt;Journal&lt;/Ref_Type&gt;&lt;Ref_ID&gt;4&lt;/Ref_ID&gt;&lt;Title_Primary&gt;A daily SMS reminder increases adherence to asthma treatment: a three-month follow-up study&lt;/Title_Primary&gt;&lt;Authors_Primary&gt;Strandbygaard,U.&lt;/Authors_Primary&gt;&lt;Authors_Primary&gt;Thomsen,S.F.&lt;/Authors_Primary&gt;&lt;Authors_Primary&gt;Backer,V.&lt;/Authors_Primary&gt;&lt;Date_Primary&gt;2010/2&lt;/Date_Primary&gt;&lt;Keywords&gt;Adolescent&lt;/Keywords&gt;&lt;Keywords&gt;Adult&lt;/Keywords&gt;&lt;Keywords&gt;Anti-Asthmatic Agents&lt;/Keywords&gt;&lt;Keywords&gt;Asthma&lt;/Keywords&gt;&lt;Keywords&gt;Cellular Phone&lt;/Keywords&gt;&lt;Keywords&gt;drug therapy&lt;/Keywords&gt;&lt;Keywords&gt;Female&lt;/Keywords&gt;&lt;Keywords&gt;Follow-Up Studies&lt;/Keywords&gt;&lt;Keywords&gt;Humans&lt;/Keywords&gt;&lt;Keywords&gt;Male&lt;/Keywords&gt;&lt;Keywords&gt;Medication Adherence&lt;/Keywords&gt;&lt;Keywords&gt;methods&lt;/Keywords&gt;&lt;Keywords&gt;Middle Aged&lt;/Keywords&gt;&lt;Keywords&gt;psychology&lt;/Keywords&gt;&lt;Keywords&gt;Reminder Systems&lt;/Keywords&gt;&lt;Keywords&gt;Respiratory Function Tests&lt;/Keywords&gt;&lt;Keywords&gt;statistics &amp;amp; numerical data&lt;/Keywords&gt;&lt;Keywords&gt;therapeutic use&lt;/Keywords&gt;&lt;Keywords&gt;Treatment Outcome&lt;/Keywords&gt;&lt;Keywords&gt;Young Adult&lt;/Keywords&gt;&lt;Reprint&gt;Not in File&lt;/Reprint&gt;&lt;Start_Page&gt;166&lt;/Start_Page&gt;&lt;End_Page&gt;171&lt;/End_Page&gt;&lt;Periodical&gt;Respir.Med.&lt;/Periodical&gt;&lt;Volume&gt;104&lt;/Volume&gt;&lt;Issue&gt;2&lt;/Issue&gt;&lt;Address&gt;Department of Respiratory Medicine, Bispebjerg Hospital, Copenhagen NV, Denmark&lt;/Address&gt;&lt;Web_URL&gt;PM:19854632&lt;/Web_URL&gt;&lt;ZZ_JournalStdAbbrev&gt;&lt;f name="System"&gt;Respir.Med.&lt;/f&gt;&lt;/ZZ_JournalStdAbbrev&gt;&lt;ZZ_WorkformID&gt;1&lt;/ZZ_WorkformID&gt;&lt;/MDL&gt;&lt;/Cite&gt;&lt;Cite&gt;&lt;Author&gt;Ting&lt;/Author&gt;&lt;Year&gt;2012&lt;/Year&gt;&lt;RecNum&gt;5&lt;/RecNum&gt;&lt;IDText&gt;Usefulness of cellular text messaging for improving adherence among adolescents and young adults with systemic lupus erythematosus&lt;/IDText&gt;&lt;MDL Ref_Type="Journal"&gt;&lt;Ref_Type&gt;Journal&lt;/Ref_Type&gt;&lt;Ref_ID&gt;5&lt;/Ref_ID&gt;&lt;Title_Primary&gt;Usefulness of cellular text messaging for improving adherence among adolescents and young adults with systemic lupus erythematosus&lt;/Title_Primary&gt;&lt;Authors_Primary&gt;Ting,T.V.&lt;/Authors_Primary&gt;&lt;Authors_Primary&gt;Kudalkar,D.&lt;/Authors_Primary&gt;&lt;Authors_Primary&gt;Nelson,S.&lt;/Authors_Primary&gt;&lt;Authors_Primary&gt;Cortina,S.&lt;/Authors_Primary&gt;&lt;Authors_Primary&gt;Pendl,J.&lt;/Authors_Primary&gt;&lt;Authors_Primary&gt;Budhani,S.&lt;/Authors_Primary&gt;&lt;Authors_Primary&gt;Neville,J.&lt;/Authors_Primary&gt;&lt;Authors_Primary&gt;Taylor,J.&lt;/Authors_Primary&gt;&lt;Authors_Primary&gt;Huggins,J.&lt;/Authors_Primary&gt;&lt;Authors_Primary&gt;Drotar,D.&lt;/Authors_Primary&gt;&lt;Authors_Primary&gt;Brunner,H.I.&lt;/Authors_Primary&gt;&lt;Date_Primary&gt;2012/1&lt;/Date_Primary&gt;&lt;Keywords&gt;Adolescent&lt;/Keywords&gt;&lt;Keywords&gt;Adult&lt;/Keywords&gt;&lt;Keywords&gt;Ambulatory Care Facilities&lt;/Keywords&gt;&lt;Keywords&gt;Antirheumatic Agents&lt;/Keywords&gt;&lt;Keywords&gt;blood&lt;/Keywords&gt;&lt;Keywords&gt;drug therapy&lt;/Keywords&gt;&lt;Keywords&gt;education&lt;/Keywords&gt;&lt;Keywords&gt;Female&lt;/Keywords&gt;&lt;Keywords&gt;Humans&lt;/Keywords&gt;&lt;Keywords&gt;Hydroxychloroquine&lt;/Keywords&gt;&lt;Keywords&gt;Lupus Erythematosus,Systemic&lt;/Keywords&gt;&lt;Keywords&gt;Male&lt;/Keywords&gt;&lt;Keywords&gt;Medication Adherence&lt;/Keywords&gt;&lt;Keywords&gt;methods&lt;/Keywords&gt;&lt;Keywords&gt;Patient Compliance&lt;/Keywords&gt;&lt;Keywords&gt;physiopathology&lt;/Keywords&gt;&lt;Keywords&gt;Questionnaires&lt;/Keywords&gt;&lt;Keywords&gt;Text Messaging&lt;/Keywords&gt;&lt;Keywords&gt;therapeutic use&lt;/Keywords&gt;&lt;Keywords&gt;Young Adult&lt;/Keywords&gt;&lt;Reprint&gt;Not in File&lt;/Reprint&gt;&lt;Start_Page&gt;174&lt;/Start_Page&gt;&lt;End_Page&gt;179&lt;/End_Page&gt;&lt;Periodical&gt;J.Rheumatol.&lt;/Periodical&gt;&lt;Volume&gt;39&lt;/Volume&gt;&lt;Issue&gt;1&lt;/Issue&gt;&lt;Address&gt;Cincinnati Children&amp;apos;s Hospital Medical Center, William Rowe Division of Rheumatology, MLC 4010, 3333 Burnet Avenue, Cincinnati, OH 45229-3039, USA. tracy.ting@cchmc.org&lt;/Address&gt;&lt;Web_URL&gt;PM:22089460&lt;/Web_URL&gt;&lt;ZZ_JournalStdAbbrev&gt;&lt;f name="System"&gt;J.Rheumatol.&lt;/f&gt;&lt;/ZZ_JournalStdAbbrev&gt;&lt;ZZ_WorkformID&gt;1&lt;/ZZ_WorkformID&gt;&lt;/MDL&gt;&lt;/Cite&gt;&lt;/Refman&gt;</w:instrText>
      </w:r>
      <w:r w:rsidR="009B5648">
        <w:fldChar w:fldCharType="separate"/>
      </w:r>
      <w:r>
        <w:t>[16-20]</w:t>
      </w:r>
      <w:r w:rsidR="009B5648">
        <w:fldChar w:fldCharType="end"/>
      </w:r>
      <w:r w:rsidRPr="00DA4F2D">
        <w:t>.</w:t>
      </w:r>
      <w:r>
        <w:t xml:space="preserve">  Three of the five RCTs were very small (&lt;50 participants).</w:t>
      </w:r>
    </w:p>
    <w:p w:rsidR="00BA6265" w:rsidRPr="006A7D9D" w:rsidRDefault="00BA6265" w:rsidP="00C96163">
      <w:pPr>
        <w:pStyle w:val="Heading7"/>
      </w:pPr>
      <w:r w:rsidRPr="006A7D9D">
        <w:lastRenderedPageBreak/>
        <w:t>Intervention Effectiveness/Outcomes</w:t>
      </w:r>
    </w:p>
    <w:p w:rsidR="00BA6265" w:rsidRPr="00DA4F2D" w:rsidRDefault="00BA6265" w:rsidP="00660039">
      <w:r w:rsidRPr="00DA4F2D">
        <w:t>Sub-group categorisation was not possible due to the small number of eligible studies</w:t>
      </w:r>
      <w:r>
        <w:t>.</w:t>
      </w:r>
      <w:r w:rsidRPr="00DA4F2D">
        <w:t xml:space="preserve"> </w:t>
      </w:r>
      <w:r>
        <w:t>O</w:t>
      </w:r>
      <w:r w:rsidRPr="00DA4F2D">
        <w:t>nly one eligible study included children</w:t>
      </w:r>
      <w:r>
        <w:t>,</w:t>
      </w:r>
      <w:r w:rsidRPr="00DA4F2D">
        <w:t xml:space="preserve"> and none included </w:t>
      </w:r>
      <w:r>
        <w:t>I</w:t>
      </w:r>
      <w:r w:rsidRPr="00DA4F2D">
        <w:t>ndigenous participants.</w:t>
      </w:r>
    </w:p>
    <w:p w:rsidR="00BA6265" w:rsidRPr="00DA4F2D" w:rsidRDefault="00BA6265" w:rsidP="00660039"/>
    <w:p w:rsidR="00BA6265" w:rsidRDefault="00BA6265" w:rsidP="00660039">
      <w:r w:rsidRPr="00DA4F2D">
        <w:t xml:space="preserve">Meta-analysis was not completed due to the </w:t>
      </w:r>
      <w:r>
        <w:t>clinical heterogeneity</w:t>
      </w:r>
      <w:r w:rsidRPr="00DA4F2D">
        <w:t xml:space="preserve"> between intervention characteristics (in design or intention) and the variable quality of the studies. In this section, the eligible studies are present according to the </w:t>
      </w:r>
      <w:r>
        <w:t xml:space="preserve">type of </w:t>
      </w:r>
      <w:r w:rsidRPr="00DA4F2D">
        <w:t xml:space="preserve">health condition, that is - human immunodeficiency virus (HIV), oral health, asthma, systemic lupus </w:t>
      </w:r>
      <w:proofErr w:type="spellStart"/>
      <w:r w:rsidRPr="00DA4F2D">
        <w:t>erythematosus</w:t>
      </w:r>
      <w:proofErr w:type="spellEnd"/>
      <w:r w:rsidRPr="00DA4F2D">
        <w:t xml:space="preserve"> (SLE).</w:t>
      </w:r>
    </w:p>
    <w:p w:rsidR="00BA6265" w:rsidRPr="006A7D9D" w:rsidRDefault="00BA6265" w:rsidP="00C96163">
      <w:pPr>
        <w:pStyle w:val="Heading7"/>
      </w:pPr>
      <w:r w:rsidRPr="006A7D9D">
        <w:t>Mobile phone text messaging for promoting adherence to antiretroviral therapy</w:t>
      </w:r>
      <w:r>
        <w:t xml:space="preserve"> </w:t>
      </w:r>
      <w:r w:rsidRPr="006A7D9D">
        <w:t>in patients with HIV Infection</w:t>
      </w:r>
    </w:p>
    <w:p w:rsidR="00BA6265" w:rsidRDefault="00BA6265" w:rsidP="00660039">
      <w:r w:rsidRPr="00DA4F2D">
        <w:t>One systematic review</w:t>
      </w:r>
      <w:r>
        <w:t xml:space="preserve"> </w:t>
      </w:r>
      <w:r w:rsidR="009B5648">
        <w:fldChar w:fldCharType="begin"/>
      </w:r>
      <w:r>
        <w:instrText xml:space="preserve"> ADDIN REFMGR.CITE &lt;Refman&gt;&lt;Cite&gt;&lt;Author&gt;Horvath&lt;/Author&gt;&lt;Year&gt;2012&lt;/Year&gt;&lt;RecNum&gt;1&lt;/RecNum&gt;&lt;IDText&gt;Mobile phone text messaging for promoting adherence to antiretroviral therapy in patients with HIV infection&lt;/IDText&gt;&lt;MDL Ref_Type="Journal"&gt;&lt;Ref_Type&gt;Journal&lt;/Ref_Type&gt;&lt;Ref_ID&gt;1&lt;/Ref_ID&gt;&lt;Title_Primary&gt;Mobile phone text messaging for promoting adherence to antiretroviral therapy in patients with HIV infection&lt;/Title_Primary&gt;&lt;Authors_Primary&gt;Horvath,T.&lt;/Authors_Primary&gt;&lt;Authors_Primary&gt;Azman,H.&lt;/Authors_Primary&gt;&lt;Authors_Primary&gt;Kennedy,G.E.&lt;/Authors_Primary&gt;&lt;Authors_Primary&gt;Rutherford,G.W.&lt;/Authors_Primary&gt;&lt;Date_Primary&gt;2012&lt;/Date_Primary&gt;&lt;Reprint&gt;Not in File&lt;/Reprint&gt;&lt;Start_Page&gt;CD009756&lt;/Start_Page&gt;&lt;Periodical&gt;Cochrane.Database.Syst.Rev.&lt;/Periodical&gt;&lt;Volume&gt;3&lt;/Volume&gt;&lt;Address&gt;Global Health Sciences, University of California, San Francisco, 50 Beale Street, Suite 1200, SanFrancisco, California, 94105, USA. thorvath@psg.ucsf.edu&lt;/Address&gt;&lt;Web_URL&gt;PM:22419345&lt;/Web_URL&gt;&lt;ZZ_JournalStdAbbrev&gt;&lt;f name="System"&gt;Cochrane.Database.Syst.Rev.&lt;/f&gt;&lt;/ZZ_JournalStdAbbrev&gt;&lt;ZZ_WorkformID&gt;1&lt;/ZZ_WorkformID&gt;&lt;/MDL&gt;&lt;/Cite&gt;&lt;/Refman&gt;</w:instrText>
      </w:r>
      <w:r w:rsidR="009B5648">
        <w:fldChar w:fldCharType="separate"/>
      </w:r>
      <w:r>
        <w:t>[21]</w:t>
      </w:r>
      <w:r w:rsidR="009B5648">
        <w:fldChar w:fldCharType="end"/>
      </w:r>
      <w:r w:rsidRPr="00DA4F2D">
        <w:t xml:space="preserve"> (consisting of 2 studies</w:t>
      </w:r>
      <w:r>
        <w:t xml:space="preserve"> – for one study the intervention design did not meet the eligibility criteria for this review, i.e. a SMS response was required from the study participant</w:t>
      </w:r>
      <w:r w:rsidRPr="00DA4F2D">
        <w:t>) and two studies</w:t>
      </w:r>
      <w:r>
        <w:t xml:space="preserve"> </w:t>
      </w:r>
      <w:r w:rsidR="009B5648">
        <w:fldChar w:fldCharType="begin"/>
      </w:r>
      <w:r>
        <w:instrText xml:space="preserve"> ADDIN REFMGR.CITE &lt;Refman&gt;&lt;Cite&gt;&lt;Author&gt;Pop-Eleches&lt;/Author&gt;&lt;Year&gt;2011&lt;/Year&gt;&lt;RecNum&gt;2&lt;/RecNum&gt;&lt;IDText&gt;Mobile phone technologies improve adherence to antiretroviral treatment in a resource-limited setting: a randomized controlled trial of text message reminders&lt;/IDText&gt;&lt;MDL Ref_Type="Journal"&gt;&lt;Ref_Type&gt;Journal&lt;/Ref_Type&gt;&lt;Ref_ID&gt;2&lt;/Ref_ID&gt;&lt;Title_Primary&gt;Mobile phone technologies improve adherence to antiretroviral treatment in a resource-limited setting: a randomized controlled trial of text message reminders&lt;/Title_Primary&gt;&lt;Authors_Primary&gt;Pop-Eleches,C.&lt;/Authors_Primary&gt;&lt;Authors_Primary&gt;Thirumurthy,H.&lt;/Authors_Primary&gt;&lt;Authors_Primary&gt;Habyarimana,J.P.&lt;/Authors_Primary&gt;&lt;Authors_Primary&gt;Zivin,J.G.&lt;/Authors_Primary&gt;&lt;Authors_Primary&gt;Goldstein,M.P.&lt;/Authors_Primary&gt;&lt;Authors_Primary&gt;de,Walque D.&lt;/Authors_Primary&gt;&lt;Authors_Primary&gt;MacKeen,L.&lt;/Authors_Primary&gt;&lt;Authors_Primary&gt;Haberer,J.&lt;/Authors_Primary&gt;&lt;Authors_Primary&gt;Kimaiyo,S.&lt;/Authors_Primary&gt;&lt;Authors_Primary&gt;Sidle,J.&lt;/Authors_Primary&gt;&lt;Authors_Primary&gt;Ngare,D.&lt;/Authors_Primary&gt;&lt;Authors_Primary&gt;Bangsberg,D.R.&lt;/Authors_Primary&gt;&lt;Date_Primary&gt;2011/3/27&lt;/Date_Primary&gt;&lt;Keywords&gt;Adult&lt;/Keywords&gt;&lt;Keywords&gt;Anti-Retroviral Agents&lt;/Keywords&gt;&lt;Keywords&gt;Cellular Phone&lt;/Keywords&gt;&lt;Keywords&gt;drug therapy&lt;/Keywords&gt;&lt;Keywords&gt;Female&lt;/Keywords&gt;&lt;Keywords&gt;Health Services Accessibility&lt;/Keywords&gt;&lt;Keywords&gt;HIV Infections&lt;/Keywords&gt;&lt;Keywords&gt;Humans&lt;/Keywords&gt;&lt;Keywords&gt;instrumentation&lt;/Keywords&gt;&lt;Keywords&gt;Kenya&lt;/Keywords&gt;&lt;Keywords&gt;Male&lt;/Keywords&gt;&lt;Keywords&gt;Patient Compliance&lt;/Keywords&gt;&lt;Keywords&gt;Reminder Systems&lt;/Keywords&gt;&lt;Keywords&gt;Rural Health&lt;/Keywords&gt;&lt;Keywords&gt;standards&lt;/Keywords&gt;&lt;Keywords&gt;therapeutic use&lt;/Keywords&gt;&lt;Reprint&gt;Not in File&lt;/Reprint&gt;&lt;Start_Page&gt;825&lt;/Start_Page&gt;&lt;End_Page&gt;834&lt;/End_Page&gt;&lt;Periodical&gt;AIDS&lt;/Periodical&gt;&lt;Volume&gt;25&lt;/Volume&gt;&lt;Issue&gt;6&lt;/Issue&gt;&lt;Address&gt;School of International and Public Affairs, Columbia University, New York, New York, USA&lt;/Address&gt;&lt;Web_URL&gt;PM:21252632&lt;/Web_URL&gt;&lt;ZZ_JournalStdAbbrev&gt;&lt;f name="System"&gt;AIDS&lt;/f&gt;&lt;/ZZ_JournalStdAbbrev&gt;&lt;ZZ_WorkformID&gt;1&lt;/ZZ_WorkformID&gt;&lt;/MDL&gt;&lt;/Cite&gt;&lt;Cite&gt;&lt;Author&gt;da Costa&lt;/Author&gt;&lt;Year&gt;2012&lt;/Year&gt;&lt;RecNum&gt;3090&lt;/RecNum&gt;&lt;IDText&gt;Results of a randomized controlled trial to assess the effects of a mobile SMS-based intervention on treatment adherence in HIV/AIDS-infected Brazilian women and impressions and satisfaction with respect to incoming messages&lt;/IDText&gt;&lt;MDL Ref_Type="Journal"&gt;&lt;Ref_Type&gt;Journal&lt;/Ref_Type&gt;&lt;Ref_ID&gt;3090&lt;/Ref_ID&gt;&lt;Title_Primary&gt;Results of a randomized controlled trial to assess the effects of a mobile SMS-based intervention on treatment adherence in HIV/AIDS-infected Brazilian women and impressions and satisfaction with respect to incoming messages&lt;/Title_Primary&gt;&lt;Authors_Primary&gt;da Costa,T.M.&lt;/Authors_Primary&gt;&lt;Authors_Primary&gt;Barbosa,B.J.&lt;/Authors_Primary&gt;&lt;Authors_Primary&gt;Gomes e Costa DA&lt;/Authors_Primary&gt;&lt;Authors_Primary&gt;Sigulem,D.&lt;/Authors_Primary&gt;&lt;Authors_Primary&gt;de Fatima,Marin H.&lt;/Authors_Primary&gt;&lt;Authors_Primary&gt;Filho,A.C.&lt;/Authors_Primary&gt;&lt;Authors_Primary&gt;Pisa,I.T.&lt;/Authors_Primary&gt;&lt;Date_Primary&gt;2012/4&lt;/Date_Primary&gt;&lt;Keywords&gt;Acquired Immunodeficiency Syndrome&lt;/Keywords&gt;&lt;Keywords&gt;administration &amp;amp; dosage&lt;/Keywords&gt;&lt;Keywords&gt;Adult&lt;/Keywords&gt;&lt;Keywords&gt;Anti-HIV Agents&lt;/Keywords&gt;&lt;Keywords&gt;Brazil&lt;/Keywords&gt;&lt;Keywords&gt;Case-Control Studies&lt;/Keywords&gt;&lt;Keywords&gt;drug therapy&lt;/Keywords&gt;&lt;Keywords&gt;Female&lt;/Keywords&gt;&lt;Keywords&gt;Health&lt;/Keywords&gt;&lt;Keywords&gt;Health Behavior&lt;/Keywords&gt;&lt;Keywords&gt;Health Services Accessibility&lt;/Keywords&gt;&lt;Keywords&gt;HIV Infections&lt;/Keywords&gt;&lt;Keywords&gt;Hiv-1&lt;/Keywords&gt;&lt;Keywords&gt;Humans&lt;/Keywords&gt;&lt;Keywords&gt;Medication Adherence&lt;/Keywords&gt;&lt;Keywords&gt;pathogenicity&lt;/Keywords&gt;&lt;Keywords&gt;Patient Compliance&lt;/Keywords&gt;&lt;Keywords&gt;Persuasive Communication&lt;/Keywords&gt;&lt;Keywords&gt;Reminder Systems&lt;/Keywords&gt;&lt;Keywords&gt;Research&lt;/Keywords&gt;&lt;Keywords&gt;standards&lt;/Keywords&gt;&lt;Keywords&gt;Text Messaging&lt;/Keywords&gt;&lt;Keywords&gt;therapy&lt;/Keywords&gt;&lt;Keywords&gt;Treatment Outcome&lt;/Keywords&gt;&lt;Reprint&gt;Not in File&lt;/Reprint&gt;&lt;Start_Page&gt;257&lt;/Start_Page&gt;&lt;End_Page&gt;269&lt;/End_Page&gt;&lt;Periodical&gt;Int.J.Med.Inform.&lt;/Periodical&gt;&lt;Volume&gt;81&lt;/Volume&gt;&lt;Issue&gt;4&lt;/Issue&gt;&lt;Address&gt;Health Informatics Postgraduate Program, Universidade Federal de Sao Paulo (UNIFESP), Sao Paulo, SP, Brazil. tmartinicosta@gmail.com&lt;/Address&gt;&lt;Web_URL&gt;PM:22296762&lt;/Web_URL&gt;&lt;ZZ_JournalStdAbbrev&gt;&lt;f name="System"&gt;Int.J.Med.Inform.&lt;/f&gt;&lt;/ZZ_JournalStdAbbrev&gt;&lt;ZZ_WorkformID&gt;1&lt;/ZZ_WorkformID&gt;&lt;/MDL&gt;&lt;/Cite&gt;&lt;/Refman&gt;</w:instrText>
      </w:r>
      <w:r w:rsidR="009B5648">
        <w:fldChar w:fldCharType="separate"/>
      </w:r>
      <w:r>
        <w:t>[16-17]</w:t>
      </w:r>
      <w:r w:rsidR="009B5648">
        <w:fldChar w:fldCharType="end"/>
      </w:r>
      <w:r w:rsidRPr="00DA4F2D">
        <w:t xml:space="preserve"> are included in this category</w:t>
      </w:r>
      <w:r>
        <w:t xml:space="preserve"> </w:t>
      </w:r>
      <w:r w:rsidRPr="00DA4F2D">
        <w:t>(one study</w:t>
      </w:r>
      <w:r>
        <w:t xml:space="preserve"> </w:t>
      </w:r>
      <w:r w:rsidR="009B5648">
        <w:fldChar w:fldCharType="begin"/>
      </w:r>
      <w:r>
        <w:instrText xml:space="preserve"> ADDIN REFMGR.CITE &lt;Refman&gt;&lt;Cite&gt;&lt;Author&gt;Pop-Eleches&lt;/Author&gt;&lt;Year&gt;2011&lt;/Year&gt;&lt;RecNum&gt;2&lt;/RecNum&gt;&lt;IDText&gt;Mobile phone technologies improve adherence to antiretroviral treatment in a resource-limited setting: a randomized controlled trial of text message reminders&lt;/IDText&gt;&lt;MDL Ref_Type="Journal"&gt;&lt;Ref_Type&gt;Journal&lt;/Ref_Type&gt;&lt;Ref_ID&gt;2&lt;/Ref_ID&gt;&lt;Title_Primary&gt;Mobile phone technologies improve adherence to antiretroviral treatment in a resource-limited setting: a randomized controlled trial of text message reminders&lt;/Title_Primary&gt;&lt;Authors_Primary&gt;Pop-Eleches,C.&lt;/Authors_Primary&gt;&lt;Authors_Primary&gt;Thirumurthy,H.&lt;/Authors_Primary&gt;&lt;Authors_Primary&gt;Habyarimana,J.P.&lt;/Authors_Primary&gt;&lt;Authors_Primary&gt;Zivin,J.G.&lt;/Authors_Primary&gt;&lt;Authors_Primary&gt;Goldstein,M.P.&lt;/Authors_Primary&gt;&lt;Authors_Primary&gt;de,Walque D.&lt;/Authors_Primary&gt;&lt;Authors_Primary&gt;MacKeen,L.&lt;/Authors_Primary&gt;&lt;Authors_Primary&gt;Haberer,J.&lt;/Authors_Primary&gt;&lt;Authors_Primary&gt;Kimaiyo,S.&lt;/Authors_Primary&gt;&lt;Authors_Primary&gt;Sidle,J.&lt;/Authors_Primary&gt;&lt;Authors_Primary&gt;Ngare,D.&lt;/Authors_Primary&gt;&lt;Authors_Primary&gt;Bangsberg,D.R.&lt;/Authors_Primary&gt;&lt;Date_Primary&gt;2011/3/27&lt;/Date_Primary&gt;&lt;Keywords&gt;Adult&lt;/Keywords&gt;&lt;Keywords&gt;Anti-Retroviral Agents&lt;/Keywords&gt;&lt;Keywords&gt;Cellular Phone&lt;/Keywords&gt;&lt;Keywords&gt;drug therapy&lt;/Keywords&gt;&lt;Keywords&gt;Female&lt;/Keywords&gt;&lt;Keywords&gt;Health Services Accessibility&lt;/Keywords&gt;&lt;Keywords&gt;HIV Infections&lt;/Keywords&gt;&lt;Keywords&gt;Humans&lt;/Keywords&gt;&lt;Keywords&gt;instrumentation&lt;/Keywords&gt;&lt;Keywords&gt;Kenya&lt;/Keywords&gt;&lt;Keywords&gt;Male&lt;/Keywords&gt;&lt;Keywords&gt;Patient Compliance&lt;/Keywords&gt;&lt;Keywords&gt;Reminder Systems&lt;/Keywords&gt;&lt;Keywords&gt;Rural Health&lt;/Keywords&gt;&lt;Keywords&gt;standards&lt;/Keywords&gt;&lt;Keywords&gt;therapeutic use&lt;/Keywords&gt;&lt;Reprint&gt;Not in File&lt;/Reprint&gt;&lt;Start_Page&gt;825&lt;/Start_Page&gt;&lt;End_Page&gt;834&lt;/End_Page&gt;&lt;Periodical&gt;AIDS&lt;/Periodical&gt;&lt;Volume&gt;25&lt;/Volume&gt;&lt;Issue&gt;6&lt;/Issue&gt;&lt;Address&gt;School of International and Public Affairs, Columbia University, New York, New York, USA&lt;/Address&gt;&lt;Web_URL&gt;PM:21252632&lt;/Web_URL&gt;&lt;ZZ_JournalStdAbbrev&gt;&lt;f name="System"&gt;AIDS&lt;/f&gt;&lt;/ZZ_JournalStdAbbrev&gt;&lt;ZZ_WorkformID&gt;1&lt;/ZZ_WorkformID&gt;&lt;/MDL&gt;&lt;/Cite&gt;&lt;/Refman&gt;</w:instrText>
      </w:r>
      <w:r w:rsidR="009B5648">
        <w:fldChar w:fldCharType="separate"/>
      </w:r>
      <w:r>
        <w:t>[17]</w:t>
      </w:r>
      <w:r w:rsidR="009B5648">
        <w:fldChar w:fldCharType="end"/>
      </w:r>
      <w:r>
        <w:t>,</w:t>
      </w:r>
      <w:r w:rsidRPr="00DA4F2D">
        <w:t xml:space="preserve"> </w:t>
      </w:r>
      <w:r>
        <w:t>included in the</w:t>
      </w:r>
      <w:r w:rsidRPr="00DA4F2D">
        <w:t xml:space="preserve"> aforementioned review</w:t>
      </w:r>
      <w:r>
        <w:t>)</w:t>
      </w:r>
      <w:r w:rsidRPr="00DA4F2D">
        <w:t xml:space="preserve">. </w:t>
      </w:r>
      <w:r>
        <w:t>The studies were</w:t>
      </w:r>
      <w:r w:rsidRPr="00DA4F2D">
        <w:t xml:space="preserve"> completed in Kenya and Brazil. </w:t>
      </w:r>
    </w:p>
    <w:p w:rsidR="00BA6265" w:rsidRDefault="00BA6265" w:rsidP="00660039">
      <w:pPr>
        <w:pStyle w:val="Caption"/>
        <w:spacing w:line="240" w:lineRule="auto"/>
        <w:rPr>
          <w:rFonts w:ascii="Times New Roman" w:hAnsi="Times New Roman"/>
          <w:b w:val="0"/>
          <w:bCs w:val="0"/>
          <w:caps w:val="0"/>
          <w:sz w:val="24"/>
          <w:szCs w:val="24"/>
          <w:lang w:val="en-AU" w:eastAsia="en-AU"/>
        </w:rPr>
      </w:pPr>
    </w:p>
    <w:p w:rsidR="00BA6265" w:rsidRDefault="00BA6265" w:rsidP="00660039">
      <w:pPr>
        <w:rPr>
          <w:b/>
        </w:rPr>
      </w:pPr>
      <w:proofErr w:type="gramStart"/>
      <w:r w:rsidRPr="00C96163">
        <w:rPr>
          <w:rStyle w:val="Heading7Char"/>
        </w:rPr>
        <w:t xml:space="preserve">Table </w:t>
      </w:r>
      <w:r w:rsidR="009B5648" w:rsidRPr="00C96163">
        <w:rPr>
          <w:rStyle w:val="Heading7Char"/>
        </w:rPr>
        <w:fldChar w:fldCharType="begin"/>
      </w:r>
      <w:r w:rsidRPr="00C96163">
        <w:rPr>
          <w:rStyle w:val="Heading7Char"/>
        </w:rPr>
        <w:instrText xml:space="preserve"> SEQ Table \* ARABIC </w:instrText>
      </w:r>
      <w:r w:rsidR="009B5648" w:rsidRPr="00C96163">
        <w:rPr>
          <w:rStyle w:val="Heading7Char"/>
        </w:rPr>
        <w:fldChar w:fldCharType="separate"/>
      </w:r>
      <w:r w:rsidR="00653C68" w:rsidRPr="00C96163">
        <w:rPr>
          <w:rStyle w:val="Heading7Char"/>
        </w:rPr>
        <w:t>1</w:t>
      </w:r>
      <w:r w:rsidR="009B5648" w:rsidRPr="00C96163">
        <w:rPr>
          <w:rStyle w:val="Heading7Char"/>
        </w:rPr>
        <w:fldChar w:fldCharType="end"/>
      </w:r>
      <w:r w:rsidRPr="00C96163">
        <w:rPr>
          <w:rStyle w:val="Heading7Char"/>
        </w:rPr>
        <w:t>.</w:t>
      </w:r>
      <w:proofErr w:type="gramEnd"/>
      <w:r w:rsidRPr="00D336CE">
        <w:rPr>
          <w:b/>
        </w:rPr>
        <w:t xml:space="preserve"> </w:t>
      </w:r>
      <w:r w:rsidRPr="00D336CE">
        <w:t>Mobile phone text messaging - HIV</w:t>
      </w:r>
      <w:r w:rsidRPr="00D336CE">
        <w:rPr>
          <w:b/>
        </w:rPr>
        <w:t xml:space="preserve"> </w:t>
      </w:r>
    </w:p>
    <w:p w:rsidR="00BA6265" w:rsidRPr="00D336CE" w:rsidRDefault="00BA6265" w:rsidP="0066003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4"/>
        <w:gridCol w:w="966"/>
        <w:gridCol w:w="1192"/>
        <w:gridCol w:w="1006"/>
        <w:gridCol w:w="5231"/>
      </w:tblGrid>
      <w:tr w:rsidR="00BA6265" w:rsidRPr="00DA4F2D" w:rsidTr="0034395B">
        <w:tc>
          <w:tcPr>
            <w:tcW w:w="1494" w:type="dxa"/>
            <w:vMerge w:val="restart"/>
            <w:vAlign w:val="center"/>
          </w:tcPr>
          <w:p w:rsidR="00BA6265" w:rsidRPr="00DA4F2D" w:rsidRDefault="00BA6265" w:rsidP="00660039">
            <w:pPr>
              <w:keepNext/>
            </w:pPr>
          </w:p>
        </w:tc>
        <w:tc>
          <w:tcPr>
            <w:tcW w:w="3164" w:type="dxa"/>
            <w:gridSpan w:val="3"/>
            <w:vAlign w:val="center"/>
          </w:tcPr>
          <w:p w:rsidR="00BA6265" w:rsidRPr="0034395B" w:rsidRDefault="00BA6265" w:rsidP="00660039">
            <w:pPr>
              <w:keepNext/>
              <w:rPr>
                <w:b/>
                <w:vertAlign w:val="superscript"/>
              </w:rPr>
            </w:pPr>
            <w:r w:rsidRPr="0034395B">
              <w:rPr>
                <w:b/>
              </w:rPr>
              <w:t>Study ROB Rating</w:t>
            </w:r>
            <w:r w:rsidRPr="0034395B">
              <w:rPr>
                <w:b/>
                <w:vertAlign w:val="superscript"/>
              </w:rPr>
              <w:t>1</w:t>
            </w:r>
          </w:p>
        </w:tc>
        <w:tc>
          <w:tcPr>
            <w:tcW w:w="5231" w:type="dxa"/>
            <w:vMerge w:val="restart"/>
            <w:vAlign w:val="center"/>
          </w:tcPr>
          <w:p w:rsidR="00BA6265" w:rsidRPr="0034395B" w:rsidRDefault="00BA6265" w:rsidP="00660039">
            <w:pPr>
              <w:keepNext/>
              <w:rPr>
                <w:b/>
              </w:rPr>
            </w:pPr>
            <w:r w:rsidRPr="0034395B">
              <w:rPr>
                <w:b/>
              </w:rPr>
              <w:t>Findings</w:t>
            </w:r>
          </w:p>
        </w:tc>
      </w:tr>
      <w:tr w:rsidR="00BA6265" w:rsidRPr="00DA4F2D" w:rsidTr="0034395B">
        <w:tc>
          <w:tcPr>
            <w:tcW w:w="1494" w:type="dxa"/>
            <w:vMerge/>
            <w:vAlign w:val="center"/>
          </w:tcPr>
          <w:p w:rsidR="00BA6265" w:rsidRPr="00DA4F2D" w:rsidRDefault="00BA6265" w:rsidP="00660039">
            <w:pPr>
              <w:keepNext/>
            </w:pPr>
          </w:p>
        </w:tc>
        <w:tc>
          <w:tcPr>
            <w:tcW w:w="966" w:type="dxa"/>
            <w:vAlign w:val="center"/>
          </w:tcPr>
          <w:p w:rsidR="00BA6265" w:rsidRPr="0034395B" w:rsidRDefault="00BA6265" w:rsidP="00660039">
            <w:pPr>
              <w:keepNext/>
              <w:rPr>
                <w:b/>
                <w:vertAlign w:val="superscript"/>
              </w:rPr>
            </w:pPr>
            <w:r w:rsidRPr="0034395B">
              <w:rPr>
                <w:b/>
              </w:rPr>
              <w:t>Low</w:t>
            </w:r>
            <w:r w:rsidRPr="0034395B">
              <w:rPr>
                <w:b/>
                <w:vertAlign w:val="superscript"/>
              </w:rPr>
              <w:t>2</w:t>
            </w:r>
          </w:p>
        </w:tc>
        <w:tc>
          <w:tcPr>
            <w:tcW w:w="1192" w:type="dxa"/>
            <w:vAlign w:val="center"/>
          </w:tcPr>
          <w:p w:rsidR="00BA6265" w:rsidRPr="0034395B" w:rsidRDefault="00BA6265" w:rsidP="00660039">
            <w:pPr>
              <w:keepNext/>
              <w:rPr>
                <w:b/>
                <w:vertAlign w:val="superscript"/>
              </w:rPr>
            </w:pPr>
            <w:r w:rsidRPr="0034395B">
              <w:rPr>
                <w:b/>
              </w:rPr>
              <w:t>Medium</w:t>
            </w:r>
            <w:r w:rsidRPr="0034395B">
              <w:rPr>
                <w:b/>
                <w:vertAlign w:val="superscript"/>
              </w:rPr>
              <w:t>3</w:t>
            </w:r>
          </w:p>
        </w:tc>
        <w:tc>
          <w:tcPr>
            <w:tcW w:w="1006" w:type="dxa"/>
            <w:vAlign w:val="center"/>
          </w:tcPr>
          <w:p w:rsidR="00BA6265" w:rsidRPr="0034395B" w:rsidRDefault="00BA6265" w:rsidP="00660039">
            <w:pPr>
              <w:keepNext/>
              <w:rPr>
                <w:b/>
                <w:vertAlign w:val="superscript"/>
              </w:rPr>
            </w:pPr>
            <w:r w:rsidRPr="0034395B">
              <w:rPr>
                <w:b/>
              </w:rPr>
              <w:t>High</w:t>
            </w:r>
            <w:r w:rsidRPr="0034395B">
              <w:rPr>
                <w:b/>
                <w:vertAlign w:val="superscript"/>
              </w:rPr>
              <w:t>4</w:t>
            </w:r>
          </w:p>
        </w:tc>
        <w:tc>
          <w:tcPr>
            <w:tcW w:w="5231" w:type="dxa"/>
            <w:vMerge/>
            <w:vAlign w:val="center"/>
          </w:tcPr>
          <w:p w:rsidR="00BA6265" w:rsidRPr="00DA4F2D" w:rsidRDefault="00BA6265" w:rsidP="00660039">
            <w:pPr>
              <w:keepNext/>
            </w:pPr>
          </w:p>
        </w:tc>
      </w:tr>
      <w:tr w:rsidR="00BA6265" w:rsidRPr="00DA4F2D" w:rsidTr="0034395B">
        <w:trPr>
          <w:trHeight w:val="368"/>
        </w:trPr>
        <w:tc>
          <w:tcPr>
            <w:tcW w:w="1494" w:type="dxa"/>
            <w:vAlign w:val="center"/>
          </w:tcPr>
          <w:p w:rsidR="00BA6265" w:rsidRPr="005F703E" w:rsidRDefault="00BA6265" w:rsidP="00660039">
            <w:pPr>
              <w:keepNext/>
              <w:rPr>
                <w:sz w:val="20"/>
                <w:szCs w:val="20"/>
              </w:rPr>
            </w:pPr>
            <w:r w:rsidRPr="005F703E">
              <w:rPr>
                <w:sz w:val="20"/>
                <w:szCs w:val="20"/>
              </w:rPr>
              <w:t>Review</w:t>
            </w:r>
            <w:r w:rsidR="009B5648" w:rsidRPr="005F703E">
              <w:rPr>
                <w:sz w:val="20"/>
                <w:szCs w:val="20"/>
              </w:rPr>
              <w:fldChar w:fldCharType="begin"/>
            </w:r>
            <w:r w:rsidRPr="005F703E">
              <w:rPr>
                <w:sz w:val="20"/>
                <w:szCs w:val="20"/>
              </w:rPr>
              <w:instrText xml:space="preserve"> ADDIN REFMGR.CITE &lt;Refman&gt;&lt;Cite&gt;&lt;Author&gt;Horvath&lt;/Author&gt;&lt;Year&gt;2012&lt;/Year&gt;&lt;RecNum&gt;1&lt;/RecNum&gt;&lt;IDText&gt;Mobile phone text messaging for promoting adherence to antiretroviral therapy in patients with HIV infection&lt;/IDText&gt;&lt;MDL Ref_Type="Journal"&gt;&lt;Ref_Type&gt;Journal&lt;/Ref_Type&gt;&lt;Ref_ID&gt;1&lt;/Ref_ID&gt;&lt;Title_Primary&gt;Mobile phone text messaging for promoting adherence to antiretroviral therapy in patients with HIV infection&lt;/Title_Primary&gt;&lt;Authors_Primary&gt;Horvath,T.&lt;/Authors_Primary&gt;&lt;Authors_Primary&gt;Azman,H.&lt;/Authors_Primary&gt;&lt;Authors_Primary&gt;Kennedy,G.E.&lt;/Authors_Primary&gt;&lt;Authors_Primary&gt;Rutherford,G.W.&lt;/Authors_Primary&gt;&lt;Date_Primary&gt;2012&lt;/Date_Primary&gt;&lt;Reprint&gt;Not in File&lt;/Reprint&gt;&lt;Start_Page&gt;CD009756&lt;/Start_Page&gt;&lt;Periodical&gt;Cochrane.Database.Syst.Rev.&lt;/Periodical&gt;&lt;Volume&gt;3&lt;/Volume&gt;&lt;Address&gt;Global Health Sciences, University of California, San Francisco, 50 Beale Street, Suite 1200, SanFrancisco, California, 94105, USA. thorvath@psg.ucsf.edu&lt;/Address&gt;&lt;Web_URL&gt;PM:22419345&lt;/Web_URL&gt;&lt;ZZ_JournalStdAbbrev&gt;&lt;f name="System"&gt;Cochrane.Database.Syst.Rev.&lt;/f&gt;&lt;/ZZ_JournalStdAbbrev&gt;&lt;ZZ_WorkformID&gt;1&lt;/ZZ_WorkformID&gt;&lt;/MDL&gt;&lt;/Cite&gt;&lt;/Refman&gt;</w:instrText>
            </w:r>
            <w:r w:rsidR="009B5648" w:rsidRPr="005F703E">
              <w:rPr>
                <w:sz w:val="20"/>
                <w:szCs w:val="20"/>
              </w:rPr>
              <w:fldChar w:fldCharType="separate"/>
            </w:r>
            <w:r w:rsidRPr="005F703E">
              <w:rPr>
                <w:sz w:val="20"/>
                <w:szCs w:val="20"/>
              </w:rPr>
              <w:t>[24]</w:t>
            </w:r>
            <w:r w:rsidR="009B5648" w:rsidRPr="005F703E">
              <w:rPr>
                <w:sz w:val="20"/>
                <w:szCs w:val="20"/>
              </w:rPr>
              <w:fldChar w:fldCharType="end"/>
            </w:r>
          </w:p>
        </w:tc>
        <w:tc>
          <w:tcPr>
            <w:tcW w:w="966" w:type="dxa"/>
            <w:vAlign w:val="center"/>
          </w:tcPr>
          <w:p w:rsidR="00BA6265" w:rsidRPr="005F703E" w:rsidRDefault="00BA6265" w:rsidP="00660039">
            <w:pPr>
              <w:keepNext/>
              <w:rPr>
                <w:sz w:val="20"/>
                <w:szCs w:val="20"/>
              </w:rPr>
            </w:pPr>
            <w:r w:rsidRPr="005F703E">
              <w:rPr>
                <w:sz w:val="20"/>
                <w:szCs w:val="20"/>
              </w:rPr>
              <w:t>1</w:t>
            </w:r>
          </w:p>
        </w:tc>
        <w:tc>
          <w:tcPr>
            <w:tcW w:w="1192" w:type="dxa"/>
            <w:vAlign w:val="center"/>
          </w:tcPr>
          <w:p w:rsidR="00BA6265" w:rsidRPr="005F703E" w:rsidRDefault="00BA6265" w:rsidP="00660039">
            <w:pPr>
              <w:keepNext/>
              <w:rPr>
                <w:sz w:val="20"/>
                <w:szCs w:val="20"/>
              </w:rPr>
            </w:pPr>
          </w:p>
        </w:tc>
        <w:tc>
          <w:tcPr>
            <w:tcW w:w="1006" w:type="dxa"/>
            <w:vAlign w:val="center"/>
          </w:tcPr>
          <w:p w:rsidR="00BA6265" w:rsidRPr="005F703E" w:rsidRDefault="00BA6265" w:rsidP="00660039">
            <w:pPr>
              <w:keepNext/>
              <w:rPr>
                <w:sz w:val="20"/>
                <w:szCs w:val="20"/>
              </w:rPr>
            </w:pPr>
          </w:p>
        </w:tc>
        <w:tc>
          <w:tcPr>
            <w:tcW w:w="5231" w:type="dxa"/>
            <w:vMerge w:val="restart"/>
            <w:vAlign w:val="center"/>
          </w:tcPr>
          <w:p w:rsidR="00BA6265" w:rsidRPr="005F703E" w:rsidRDefault="00BA6265" w:rsidP="00660039">
            <w:pPr>
              <w:keepNext/>
              <w:rPr>
                <w:sz w:val="20"/>
                <w:szCs w:val="20"/>
              </w:rPr>
            </w:pPr>
            <w:r w:rsidRPr="005F703E">
              <w:rPr>
                <w:sz w:val="20"/>
                <w:szCs w:val="20"/>
              </w:rPr>
              <w:t xml:space="preserve">Seven out of 8 criteria were met by the strong study. Analysis for the study was conducted both for ‘intention to treat’ and ‘per-protocol’. </w:t>
            </w:r>
          </w:p>
          <w:p w:rsidR="00BA6265" w:rsidRPr="00DA4F2D" w:rsidRDefault="00BA6265" w:rsidP="00660039">
            <w:pPr>
              <w:keepNext/>
            </w:pPr>
            <w:r w:rsidRPr="005F703E">
              <w:rPr>
                <w:sz w:val="20"/>
                <w:szCs w:val="20"/>
              </w:rPr>
              <w:t>Five criteria were demonstrated to be met by the moderate study. The sample size in this study was very small (C: n = 15, I: n = 14). Five participants in the intervention group did not receive the intervention and were excluded from the analysis. The strong review and strong study showed clear evidence of benefit that weekly SMS of any length was associated with a lower risk of non-adherence compared with standard care. The moderate study showed no evidence of benefit or harm. Meta-analysis showed i) the effect of short SMS was also significant compared with standard care; and ii) patients receiving weekly SMS were at lower risk of non-adherence at 48 weeks than were patients receiving daily messages of any length. Health outcome measures were not measured in the strong or moderate studies.</w:t>
            </w:r>
            <w:r w:rsidRPr="00DA4F2D">
              <w:t xml:space="preserve"> </w:t>
            </w:r>
          </w:p>
        </w:tc>
      </w:tr>
      <w:tr w:rsidR="00BA6265" w:rsidRPr="00DA4F2D" w:rsidTr="0034395B">
        <w:trPr>
          <w:trHeight w:val="409"/>
        </w:trPr>
        <w:tc>
          <w:tcPr>
            <w:tcW w:w="1494" w:type="dxa"/>
            <w:vAlign w:val="center"/>
          </w:tcPr>
          <w:p w:rsidR="00BA6265" w:rsidRPr="005F703E" w:rsidRDefault="00BA6265" w:rsidP="00660039">
            <w:pPr>
              <w:keepNext/>
              <w:rPr>
                <w:sz w:val="20"/>
                <w:szCs w:val="20"/>
              </w:rPr>
            </w:pPr>
            <w:r w:rsidRPr="005F703E">
              <w:rPr>
                <w:sz w:val="20"/>
                <w:szCs w:val="20"/>
              </w:rPr>
              <w:t>2 Studies</w:t>
            </w:r>
          </w:p>
        </w:tc>
        <w:tc>
          <w:tcPr>
            <w:tcW w:w="966" w:type="dxa"/>
            <w:vAlign w:val="center"/>
          </w:tcPr>
          <w:p w:rsidR="00BA6265" w:rsidRPr="005F703E" w:rsidRDefault="00BA6265" w:rsidP="00660039">
            <w:pPr>
              <w:keepNext/>
              <w:rPr>
                <w:sz w:val="20"/>
                <w:szCs w:val="20"/>
              </w:rPr>
            </w:pPr>
            <w:r w:rsidRPr="005F703E">
              <w:rPr>
                <w:sz w:val="20"/>
                <w:szCs w:val="20"/>
              </w:rPr>
              <w:t>1</w:t>
            </w:r>
          </w:p>
        </w:tc>
        <w:tc>
          <w:tcPr>
            <w:tcW w:w="1192" w:type="dxa"/>
            <w:vAlign w:val="center"/>
          </w:tcPr>
          <w:p w:rsidR="00BA6265" w:rsidRPr="005F703E" w:rsidRDefault="00BA6265" w:rsidP="00660039">
            <w:pPr>
              <w:keepNext/>
              <w:rPr>
                <w:sz w:val="20"/>
                <w:szCs w:val="20"/>
              </w:rPr>
            </w:pPr>
            <w:r w:rsidRPr="005F703E">
              <w:rPr>
                <w:sz w:val="20"/>
                <w:szCs w:val="20"/>
              </w:rPr>
              <w:t>1</w:t>
            </w:r>
          </w:p>
        </w:tc>
        <w:tc>
          <w:tcPr>
            <w:tcW w:w="1006" w:type="dxa"/>
            <w:vAlign w:val="center"/>
          </w:tcPr>
          <w:p w:rsidR="00BA6265" w:rsidRPr="005F703E" w:rsidRDefault="00BA6265" w:rsidP="00660039">
            <w:pPr>
              <w:keepNext/>
              <w:rPr>
                <w:sz w:val="20"/>
                <w:szCs w:val="20"/>
              </w:rPr>
            </w:pPr>
          </w:p>
        </w:tc>
        <w:tc>
          <w:tcPr>
            <w:tcW w:w="5231" w:type="dxa"/>
            <w:vMerge/>
            <w:vAlign w:val="center"/>
          </w:tcPr>
          <w:p w:rsidR="00BA6265" w:rsidRPr="00DA4F2D" w:rsidRDefault="00BA6265" w:rsidP="00660039">
            <w:pPr>
              <w:keepNext/>
            </w:pPr>
          </w:p>
        </w:tc>
      </w:tr>
      <w:tr w:rsidR="00BA6265" w:rsidRPr="00DA4F2D" w:rsidTr="0034395B">
        <w:trPr>
          <w:trHeight w:val="339"/>
        </w:trPr>
        <w:tc>
          <w:tcPr>
            <w:tcW w:w="2460" w:type="dxa"/>
            <w:gridSpan w:val="2"/>
            <w:vAlign w:val="center"/>
          </w:tcPr>
          <w:p w:rsidR="00BA6265" w:rsidRPr="005F703E" w:rsidRDefault="00BA6265" w:rsidP="00660039">
            <w:pPr>
              <w:keepNext/>
              <w:rPr>
                <w:i/>
                <w:sz w:val="20"/>
                <w:szCs w:val="20"/>
              </w:rPr>
            </w:pPr>
            <w:r w:rsidRPr="005F703E">
              <w:rPr>
                <w:i/>
                <w:sz w:val="20"/>
                <w:szCs w:val="20"/>
              </w:rPr>
              <w:t>Study Quality Score</w:t>
            </w:r>
          </w:p>
        </w:tc>
        <w:tc>
          <w:tcPr>
            <w:tcW w:w="1192" w:type="dxa"/>
            <w:vAlign w:val="center"/>
          </w:tcPr>
          <w:p w:rsidR="00BA6265" w:rsidRPr="005F703E" w:rsidRDefault="00BA6265" w:rsidP="00660039">
            <w:pPr>
              <w:keepNext/>
              <w:rPr>
                <w:sz w:val="20"/>
                <w:szCs w:val="20"/>
              </w:rPr>
            </w:pPr>
            <w:r w:rsidRPr="005F703E">
              <w:rPr>
                <w:sz w:val="20"/>
                <w:szCs w:val="20"/>
              </w:rPr>
              <w:t>Study</w:t>
            </w:r>
            <w:r w:rsidR="009B5648" w:rsidRPr="005F703E">
              <w:rPr>
                <w:sz w:val="20"/>
                <w:szCs w:val="20"/>
              </w:rPr>
              <w:fldChar w:fldCharType="begin"/>
            </w:r>
            <w:r w:rsidRPr="005F703E">
              <w:rPr>
                <w:sz w:val="20"/>
                <w:szCs w:val="20"/>
              </w:rPr>
              <w:instrText xml:space="preserve"> ADDIN REFMGR.CITE &lt;Refman&gt;&lt;Cite&gt;&lt;Author&gt;Pop-Eleches&lt;/Author&gt;&lt;Year&gt;2011&lt;/Year&gt;&lt;RecNum&gt;2&lt;/RecNum&gt;&lt;IDText&gt;Mobile phone technologies improve adherence to antiretroviral treatment in a resource-limited setting: a randomized controlled trial of text message reminders&lt;/IDText&gt;&lt;MDL Ref_Type="Journal"&gt;&lt;Ref_Type&gt;Journal&lt;/Ref_Type&gt;&lt;Ref_ID&gt;2&lt;/Ref_ID&gt;&lt;Title_Primary&gt;Mobile phone technologies improve adherence to antiretroviral treatment in a resource-limited setting: a randomized controlled trial of text message reminders&lt;/Title_Primary&gt;&lt;Authors_Primary&gt;Pop-Eleches,C.&lt;/Authors_Primary&gt;&lt;Authors_Primary&gt;Thirumurthy,H.&lt;/Authors_Primary&gt;&lt;Authors_Primary&gt;Habyarimana,J.P.&lt;/Authors_Primary&gt;&lt;Authors_Primary&gt;Zivin,J.G.&lt;/Authors_Primary&gt;&lt;Authors_Primary&gt;Goldstein,M.P.&lt;/Authors_Primary&gt;&lt;Authors_Primary&gt;de,Walque D.&lt;/Authors_Primary&gt;&lt;Authors_Primary&gt;MacKeen,L.&lt;/Authors_Primary&gt;&lt;Authors_Primary&gt;Haberer,J.&lt;/Authors_Primary&gt;&lt;Authors_Primary&gt;Kimaiyo,S.&lt;/Authors_Primary&gt;&lt;Authors_Primary&gt;Sidle,J.&lt;/Authors_Primary&gt;&lt;Authors_Primary&gt;Ngare,D.&lt;/Authors_Primary&gt;&lt;Authors_Primary&gt;Bangsberg,D.R.&lt;/Authors_Primary&gt;&lt;Date_Primary&gt;2011/3/27&lt;/Date_Primary&gt;&lt;Keywords&gt;Adult&lt;/Keywords&gt;&lt;Keywords&gt;Anti-Retroviral Agents&lt;/Keywords&gt;&lt;Keywords&gt;Cellular Phone&lt;/Keywords&gt;&lt;Keywords&gt;drug therapy&lt;/Keywords&gt;&lt;Keywords&gt;Female&lt;/Keywords&gt;&lt;Keywords&gt;Health Services Accessibility&lt;/Keywords&gt;&lt;Keywords&gt;HIV Infections&lt;/Keywords&gt;&lt;Keywords&gt;Humans&lt;/Keywords&gt;&lt;Keywords&gt;instrumentation&lt;/Keywords&gt;&lt;Keywords&gt;Kenya&lt;/Keywords&gt;&lt;Keywords&gt;Male&lt;/Keywords&gt;&lt;Keywords&gt;Patient Compliance&lt;/Keywords&gt;&lt;Keywords&gt;Reminder Systems&lt;/Keywords&gt;&lt;Keywords&gt;Rural Health&lt;/Keywords&gt;&lt;Keywords&gt;standards&lt;/Keywords&gt;&lt;Keywords&gt;therapeutic use&lt;/Keywords&gt;&lt;Reprint&gt;Not in File&lt;/Reprint&gt;&lt;Start_Page&gt;825&lt;/Start_Page&gt;&lt;End_Page&gt;834&lt;/End_Page&gt;&lt;Periodical&gt;AIDS&lt;/Periodical&gt;&lt;Volume&gt;25&lt;/Volume&gt;&lt;Issue&gt;6&lt;/Issue&gt;&lt;Address&gt;School of International and Public Affairs, Columbia University, New York, New York, USA&lt;/Address&gt;&lt;Web_URL&gt;PM:21252632&lt;/Web_URL&gt;&lt;ZZ_JournalStdAbbrev&gt;&lt;f name="System"&gt;AIDS&lt;/f&gt;&lt;/ZZ_JournalStdAbbrev&gt;&lt;ZZ_WorkformID&gt;1&lt;/ZZ_WorkformID&gt;&lt;/MDL&gt;&lt;/Cite&gt;&lt;/Refman&gt;</w:instrText>
            </w:r>
            <w:r w:rsidR="009B5648" w:rsidRPr="005F703E">
              <w:rPr>
                <w:sz w:val="20"/>
                <w:szCs w:val="20"/>
              </w:rPr>
              <w:fldChar w:fldCharType="separate"/>
            </w:r>
            <w:r w:rsidRPr="005F703E">
              <w:rPr>
                <w:sz w:val="20"/>
                <w:szCs w:val="20"/>
              </w:rPr>
              <w:t>[40]</w:t>
            </w:r>
            <w:r w:rsidR="009B5648" w:rsidRPr="005F703E">
              <w:rPr>
                <w:sz w:val="20"/>
                <w:szCs w:val="20"/>
              </w:rPr>
              <w:fldChar w:fldCharType="end"/>
            </w:r>
          </w:p>
        </w:tc>
        <w:tc>
          <w:tcPr>
            <w:tcW w:w="1006" w:type="dxa"/>
            <w:vAlign w:val="center"/>
          </w:tcPr>
          <w:p w:rsidR="00BA6265" w:rsidRPr="005F703E" w:rsidRDefault="00BA6265" w:rsidP="00660039">
            <w:pPr>
              <w:keepNext/>
              <w:rPr>
                <w:sz w:val="20"/>
                <w:szCs w:val="20"/>
              </w:rPr>
            </w:pPr>
            <w:r w:rsidRPr="005F703E">
              <w:rPr>
                <w:sz w:val="20"/>
                <w:szCs w:val="20"/>
              </w:rPr>
              <w:t>Study</w:t>
            </w:r>
            <w:r w:rsidR="009B5648" w:rsidRPr="005F703E">
              <w:rPr>
                <w:sz w:val="20"/>
                <w:szCs w:val="20"/>
              </w:rPr>
              <w:fldChar w:fldCharType="begin"/>
            </w:r>
            <w:r w:rsidRPr="005F703E">
              <w:rPr>
                <w:sz w:val="20"/>
                <w:szCs w:val="20"/>
              </w:rPr>
              <w:instrText xml:space="preserve"> ADDIN REFMGR.CITE &lt;Refman&gt;&lt;Cite&gt;&lt;Author&gt;da Costa&lt;/Author&gt;&lt;Year&gt;2012&lt;/Year&gt;&lt;RecNum&gt;3090&lt;/RecNum&gt;&lt;IDText&gt;Results of a randomized controlled trial to assess the effects of a mobile SMS-based intervention on treatment adherence in HIV/AIDS-infected Brazilian women and impressions and satisfaction with respect to incoming messages&lt;/IDText&gt;&lt;MDL Ref_Type="Journal"&gt;&lt;Ref_Type&gt;Journal&lt;/Ref_Type&gt;&lt;Ref_ID&gt;3090&lt;/Ref_ID&gt;&lt;Title_Primary&gt;Results of a randomized controlled trial to assess the effects of a mobile SMS-based intervention on treatment adherence in HIV/AIDS-infected Brazilian women and impressions and satisfaction with respect to incoming messages&lt;/Title_Primary&gt;&lt;Authors_Primary&gt;da Costa,T.M.&lt;/Authors_Primary&gt;&lt;Authors_Primary&gt;Barbosa,B.J.&lt;/Authors_Primary&gt;&lt;Authors_Primary&gt;Gomes e Costa DA&lt;/Authors_Primary&gt;&lt;Authors_Primary&gt;Sigulem,D.&lt;/Authors_Primary&gt;&lt;Authors_Primary&gt;de Fatima,Marin H.&lt;/Authors_Primary&gt;&lt;Authors_Primary&gt;Filho,A.C.&lt;/Authors_Primary&gt;&lt;Authors_Primary&gt;Pisa,I.T.&lt;/Authors_Primary&gt;&lt;Date_Primary&gt;2012/4&lt;/Date_Primary&gt;&lt;Keywords&gt;Acquired Immunodeficiency Syndrome&lt;/Keywords&gt;&lt;Keywords&gt;administration &amp;amp; dosage&lt;/Keywords&gt;&lt;Keywords&gt;Adult&lt;/Keywords&gt;&lt;Keywords&gt;Anti-HIV Agents&lt;/Keywords&gt;&lt;Keywords&gt;Brazil&lt;/Keywords&gt;&lt;Keywords&gt;Case-Control Studies&lt;/Keywords&gt;&lt;Keywords&gt;drug therapy&lt;/Keywords&gt;&lt;Keywords&gt;Female&lt;/Keywords&gt;&lt;Keywords&gt;Health&lt;/Keywords&gt;&lt;Keywords&gt;Health Behavior&lt;/Keywords&gt;&lt;Keywords&gt;Health Services Accessibility&lt;/Keywords&gt;&lt;Keywords&gt;HIV Infections&lt;/Keywords&gt;&lt;Keywords&gt;Hiv-1&lt;/Keywords&gt;&lt;Keywords&gt;Humans&lt;/Keywords&gt;&lt;Keywords&gt;Medication Adherence&lt;/Keywords&gt;&lt;Keywords&gt;pathogenicity&lt;/Keywords&gt;&lt;Keywords&gt;Patient Compliance&lt;/Keywords&gt;&lt;Keywords&gt;Persuasive Communication&lt;/Keywords&gt;&lt;Keywords&gt;Reminder Systems&lt;/Keywords&gt;&lt;Keywords&gt;Research&lt;/Keywords&gt;&lt;Keywords&gt;standards&lt;/Keywords&gt;&lt;Keywords&gt;Text Messaging&lt;/Keywords&gt;&lt;Keywords&gt;therapy&lt;/Keywords&gt;&lt;Keywords&gt;Treatment Outcome&lt;/Keywords&gt;&lt;Reprint&gt;Not in File&lt;/Reprint&gt;&lt;Start_Page&gt;257&lt;/Start_Page&gt;&lt;End_Page&gt;269&lt;/End_Page&gt;&lt;Periodical&gt;Int.J.Med.Inform.&lt;/Periodical&gt;&lt;Volume&gt;81&lt;/Volume&gt;&lt;Issue&gt;4&lt;/Issue&gt;&lt;Address&gt;Health Informatics Postgraduate Program, Universidade Federal de Sao Paulo (UNIFESP), Sao Paulo, SP, Brazil. tmartinicosta@gmail.com&lt;/Address&gt;&lt;Web_URL&gt;PM:22296762&lt;/Web_URL&gt;&lt;ZZ_JournalStdAbbrev&gt;&lt;f name="System"&gt;Int.J.Med.Inform.&lt;/f&gt;&lt;/ZZ_JournalStdAbbrev&gt;&lt;ZZ_WorkformID&gt;1&lt;/ZZ_WorkformID&gt;&lt;/MDL&gt;&lt;/Cite&gt;&lt;/Refman&gt;</w:instrText>
            </w:r>
            <w:r w:rsidR="009B5648" w:rsidRPr="005F703E">
              <w:rPr>
                <w:sz w:val="20"/>
                <w:szCs w:val="20"/>
              </w:rPr>
              <w:fldChar w:fldCharType="separate"/>
            </w:r>
            <w:r>
              <w:rPr>
                <w:sz w:val="20"/>
                <w:szCs w:val="20"/>
              </w:rPr>
              <w:t>[</w:t>
            </w:r>
            <w:r w:rsidRPr="005F703E">
              <w:rPr>
                <w:sz w:val="20"/>
                <w:szCs w:val="20"/>
              </w:rPr>
              <w:t>1</w:t>
            </w:r>
            <w:r>
              <w:rPr>
                <w:sz w:val="20"/>
                <w:szCs w:val="20"/>
              </w:rPr>
              <w:t>6</w:t>
            </w:r>
            <w:r w:rsidRPr="005F703E">
              <w:rPr>
                <w:sz w:val="20"/>
                <w:szCs w:val="20"/>
              </w:rPr>
              <w:t>]</w:t>
            </w:r>
            <w:r w:rsidR="009B5648" w:rsidRPr="005F703E">
              <w:rPr>
                <w:sz w:val="20"/>
                <w:szCs w:val="20"/>
              </w:rPr>
              <w:fldChar w:fldCharType="end"/>
            </w:r>
          </w:p>
        </w:tc>
        <w:tc>
          <w:tcPr>
            <w:tcW w:w="5231" w:type="dxa"/>
            <w:vMerge/>
            <w:vAlign w:val="center"/>
          </w:tcPr>
          <w:p w:rsidR="00BA6265" w:rsidRPr="00DA4F2D" w:rsidRDefault="00BA6265" w:rsidP="00660039">
            <w:pPr>
              <w:keepNext/>
            </w:pPr>
          </w:p>
        </w:tc>
      </w:tr>
      <w:tr w:rsidR="00BA6265" w:rsidRPr="00DA4F2D" w:rsidTr="0034395B">
        <w:trPr>
          <w:trHeight w:val="450"/>
        </w:trPr>
        <w:tc>
          <w:tcPr>
            <w:tcW w:w="2460" w:type="dxa"/>
            <w:gridSpan w:val="2"/>
            <w:vAlign w:val="center"/>
          </w:tcPr>
          <w:p w:rsidR="00BA6265" w:rsidRPr="005F703E" w:rsidRDefault="00BA6265" w:rsidP="0034395B">
            <w:pPr>
              <w:keepNext/>
              <w:rPr>
                <w:sz w:val="20"/>
                <w:szCs w:val="20"/>
              </w:rPr>
            </w:pPr>
            <w:r w:rsidRPr="005F703E">
              <w:rPr>
                <w:sz w:val="20"/>
                <w:szCs w:val="20"/>
              </w:rPr>
              <w:t xml:space="preserve">randomisation </w:t>
            </w:r>
          </w:p>
        </w:tc>
        <w:tc>
          <w:tcPr>
            <w:tcW w:w="1192" w:type="dxa"/>
            <w:vAlign w:val="center"/>
          </w:tcPr>
          <w:p w:rsidR="00BA6265" w:rsidRPr="005F703E" w:rsidRDefault="00BA6265" w:rsidP="00660039">
            <w:pPr>
              <w:keepNext/>
              <w:rPr>
                <w:sz w:val="20"/>
                <w:szCs w:val="20"/>
              </w:rPr>
            </w:pPr>
            <w:r w:rsidRPr="005F703E">
              <w:rPr>
                <w:sz w:val="20"/>
                <w:szCs w:val="20"/>
              </w:rPr>
              <w:t>yes</w:t>
            </w:r>
          </w:p>
        </w:tc>
        <w:tc>
          <w:tcPr>
            <w:tcW w:w="1006" w:type="dxa"/>
            <w:vAlign w:val="center"/>
          </w:tcPr>
          <w:p w:rsidR="00BA6265" w:rsidRPr="005F703E" w:rsidRDefault="00BA6265" w:rsidP="00660039">
            <w:pPr>
              <w:keepNext/>
              <w:rPr>
                <w:sz w:val="20"/>
                <w:szCs w:val="20"/>
              </w:rPr>
            </w:pPr>
            <w:r w:rsidRPr="005F703E">
              <w:rPr>
                <w:sz w:val="20"/>
                <w:szCs w:val="20"/>
              </w:rPr>
              <w:t>yes</w:t>
            </w:r>
          </w:p>
        </w:tc>
        <w:tc>
          <w:tcPr>
            <w:tcW w:w="5231" w:type="dxa"/>
            <w:vMerge/>
            <w:vAlign w:val="center"/>
          </w:tcPr>
          <w:p w:rsidR="00BA6265" w:rsidRPr="00DA4F2D" w:rsidRDefault="00BA6265" w:rsidP="00660039">
            <w:pPr>
              <w:keepNext/>
            </w:pPr>
          </w:p>
        </w:tc>
      </w:tr>
      <w:tr w:rsidR="00BA6265" w:rsidRPr="00DA4F2D" w:rsidTr="0034395B">
        <w:trPr>
          <w:trHeight w:val="450"/>
        </w:trPr>
        <w:tc>
          <w:tcPr>
            <w:tcW w:w="2460" w:type="dxa"/>
            <w:gridSpan w:val="2"/>
            <w:vAlign w:val="center"/>
          </w:tcPr>
          <w:p w:rsidR="00BA6265" w:rsidRPr="005F703E" w:rsidRDefault="00BA6265" w:rsidP="0034395B">
            <w:pPr>
              <w:keepNext/>
              <w:rPr>
                <w:sz w:val="20"/>
                <w:szCs w:val="20"/>
              </w:rPr>
            </w:pPr>
            <w:r w:rsidRPr="005F703E">
              <w:rPr>
                <w:sz w:val="20"/>
                <w:szCs w:val="20"/>
              </w:rPr>
              <w:t>concealment of allocation</w:t>
            </w:r>
          </w:p>
        </w:tc>
        <w:tc>
          <w:tcPr>
            <w:tcW w:w="1192" w:type="dxa"/>
            <w:vAlign w:val="center"/>
          </w:tcPr>
          <w:p w:rsidR="00BA6265" w:rsidRPr="005F703E" w:rsidRDefault="00BA6265" w:rsidP="00660039">
            <w:pPr>
              <w:keepNext/>
              <w:rPr>
                <w:sz w:val="20"/>
                <w:szCs w:val="20"/>
              </w:rPr>
            </w:pPr>
            <w:r w:rsidRPr="005F703E">
              <w:rPr>
                <w:sz w:val="20"/>
                <w:szCs w:val="20"/>
              </w:rPr>
              <w:t>yes</w:t>
            </w:r>
          </w:p>
        </w:tc>
        <w:tc>
          <w:tcPr>
            <w:tcW w:w="1006" w:type="dxa"/>
            <w:vAlign w:val="center"/>
          </w:tcPr>
          <w:p w:rsidR="00BA6265" w:rsidRPr="005F703E" w:rsidRDefault="00BA6265" w:rsidP="00660039">
            <w:pPr>
              <w:keepNext/>
              <w:rPr>
                <w:sz w:val="20"/>
                <w:szCs w:val="20"/>
              </w:rPr>
            </w:pPr>
            <w:r w:rsidRPr="005F703E">
              <w:rPr>
                <w:sz w:val="20"/>
                <w:szCs w:val="20"/>
              </w:rPr>
              <w:t>unclear</w:t>
            </w:r>
          </w:p>
        </w:tc>
        <w:tc>
          <w:tcPr>
            <w:tcW w:w="5231" w:type="dxa"/>
            <w:vMerge/>
            <w:vAlign w:val="center"/>
          </w:tcPr>
          <w:p w:rsidR="00BA6265" w:rsidRPr="00DA4F2D" w:rsidRDefault="00BA6265" w:rsidP="00660039">
            <w:pPr>
              <w:keepNext/>
            </w:pPr>
          </w:p>
        </w:tc>
      </w:tr>
      <w:tr w:rsidR="00BA6265" w:rsidRPr="00DA4F2D" w:rsidTr="0034395B">
        <w:trPr>
          <w:trHeight w:val="450"/>
        </w:trPr>
        <w:tc>
          <w:tcPr>
            <w:tcW w:w="2460" w:type="dxa"/>
            <w:gridSpan w:val="2"/>
            <w:vAlign w:val="center"/>
          </w:tcPr>
          <w:p w:rsidR="00BA6265" w:rsidRPr="005F703E" w:rsidRDefault="00BA6265" w:rsidP="0034395B">
            <w:pPr>
              <w:keepNext/>
              <w:rPr>
                <w:sz w:val="20"/>
                <w:szCs w:val="20"/>
              </w:rPr>
            </w:pPr>
            <w:r w:rsidRPr="005F703E">
              <w:rPr>
                <w:sz w:val="20"/>
                <w:szCs w:val="20"/>
              </w:rPr>
              <w:t>used appropriate controls</w:t>
            </w:r>
          </w:p>
        </w:tc>
        <w:tc>
          <w:tcPr>
            <w:tcW w:w="1192" w:type="dxa"/>
            <w:vAlign w:val="center"/>
          </w:tcPr>
          <w:p w:rsidR="00BA6265" w:rsidRPr="005F703E" w:rsidRDefault="00BA6265" w:rsidP="00660039">
            <w:pPr>
              <w:keepNext/>
              <w:rPr>
                <w:sz w:val="20"/>
                <w:szCs w:val="20"/>
              </w:rPr>
            </w:pPr>
            <w:r w:rsidRPr="005F703E">
              <w:rPr>
                <w:sz w:val="20"/>
                <w:szCs w:val="20"/>
              </w:rPr>
              <w:t>yes</w:t>
            </w:r>
          </w:p>
        </w:tc>
        <w:tc>
          <w:tcPr>
            <w:tcW w:w="1006" w:type="dxa"/>
            <w:vAlign w:val="center"/>
          </w:tcPr>
          <w:p w:rsidR="00BA6265" w:rsidRPr="005F703E" w:rsidRDefault="00BA6265" w:rsidP="00660039">
            <w:pPr>
              <w:keepNext/>
              <w:rPr>
                <w:sz w:val="20"/>
                <w:szCs w:val="20"/>
              </w:rPr>
            </w:pPr>
            <w:r w:rsidRPr="005F703E">
              <w:rPr>
                <w:sz w:val="20"/>
                <w:szCs w:val="20"/>
              </w:rPr>
              <w:t>yes</w:t>
            </w:r>
          </w:p>
        </w:tc>
        <w:tc>
          <w:tcPr>
            <w:tcW w:w="5231" w:type="dxa"/>
            <w:vMerge/>
            <w:vAlign w:val="center"/>
          </w:tcPr>
          <w:p w:rsidR="00BA6265" w:rsidRPr="00DA4F2D" w:rsidRDefault="00BA6265" w:rsidP="00660039">
            <w:pPr>
              <w:keepNext/>
            </w:pPr>
          </w:p>
        </w:tc>
      </w:tr>
      <w:tr w:rsidR="00BA6265" w:rsidRPr="00DA4F2D" w:rsidTr="0034395B">
        <w:trPr>
          <w:trHeight w:val="318"/>
        </w:trPr>
        <w:tc>
          <w:tcPr>
            <w:tcW w:w="2460" w:type="dxa"/>
            <w:gridSpan w:val="2"/>
            <w:vAlign w:val="center"/>
          </w:tcPr>
          <w:p w:rsidR="00BA6265" w:rsidRPr="005F703E" w:rsidRDefault="00BA6265" w:rsidP="0034395B">
            <w:pPr>
              <w:keepNext/>
              <w:rPr>
                <w:sz w:val="20"/>
                <w:szCs w:val="20"/>
              </w:rPr>
            </w:pPr>
            <w:r w:rsidRPr="005F703E">
              <w:rPr>
                <w:sz w:val="20"/>
                <w:szCs w:val="20"/>
              </w:rPr>
              <w:t>analysis by intention to treat</w:t>
            </w:r>
          </w:p>
        </w:tc>
        <w:tc>
          <w:tcPr>
            <w:tcW w:w="1192" w:type="dxa"/>
            <w:vAlign w:val="center"/>
          </w:tcPr>
          <w:p w:rsidR="00BA6265" w:rsidRPr="005F703E" w:rsidRDefault="00BA6265" w:rsidP="00660039">
            <w:pPr>
              <w:keepNext/>
              <w:rPr>
                <w:sz w:val="20"/>
                <w:szCs w:val="20"/>
              </w:rPr>
            </w:pPr>
            <w:r w:rsidRPr="005F703E">
              <w:rPr>
                <w:sz w:val="20"/>
                <w:szCs w:val="20"/>
              </w:rPr>
              <w:t>yes</w:t>
            </w:r>
          </w:p>
        </w:tc>
        <w:tc>
          <w:tcPr>
            <w:tcW w:w="1006" w:type="dxa"/>
            <w:vAlign w:val="center"/>
          </w:tcPr>
          <w:p w:rsidR="00BA6265" w:rsidRPr="005F703E" w:rsidRDefault="00BA6265" w:rsidP="00660039">
            <w:pPr>
              <w:keepNext/>
              <w:rPr>
                <w:sz w:val="20"/>
                <w:szCs w:val="20"/>
              </w:rPr>
            </w:pPr>
            <w:r w:rsidRPr="005F703E">
              <w:rPr>
                <w:sz w:val="20"/>
                <w:szCs w:val="20"/>
              </w:rPr>
              <w:t>no</w:t>
            </w:r>
          </w:p>
        </w:tc>
        <w:tc>
          <w:tcPr>
            <w:tcW w:w="5231" w:type="dxa"/>
            <w:vMerge/>
            <w:vAlign w:val="center"/>
          </w:tcPr>
          <w:p w:rsidR="00BA6265" w:rsidRPr="00DA4F2D" w:rsidRDefault="00BA6265" w:rsidP="00660039">
            <w:pPr>
              <w:keepNext/>
            </w:pPr>
          </w:p>
        </w:tc>
      </w:tr>
      <w:tr w:rsidR="00BA6265" w:rsidRPr="00DA4F2D" w:rsidTr="0034395B">
        <w:trPr>
          <w:trHeight w:val="312"/>
        </w:trPr>
        <w:tc>
          <w:tcPr>
            <w:tcW w:w="2460" w:type="dxa"/>
            <w:gridSpan w:val="2"/>
            <w:vAlign w:val="center"/>
          </w:tcPr>
          <w:p w:rsidR="00BA6265" w:rsidRPr="005F703E" w:rsidRDefault="00BA6265" w:rsidP="0034395B">
            <w:pPr>
              <w:keepNext/>
              <w:rPr>
                <w:sz w:val="20"/>
                <w:szCs w:val="20"/>
              </w:rPr>
            </w:pPr>
            <w:r w:rsidRPr="005F703E">
              <w:rPr>
                <w:sz w:val="20"/>
                <w:szCs w:val="20"/>
              </w:rPr>
              <w:t>blinded assessment of primary outcome</w:t>
            </w:r>
          </w:p>
        </w:tc>
        <w:tc>
          <w:tcPr>
            <w:tcW w:w="1192" w:type="dxa"/>
            <w:vAlign w:val="center"/>
          </w:tcPr>
          <w:p w:rsidR="00BA6265" w:rsidRPr="005F703E" w:rsidRDefault="00BA6265" w:rsidP="00660039">
            <w:pPr>
              <w:keepNext/>
              <w:rPr>
                <w:sz w:val="20"/>
                <w:szCs w:val="20"/>
              </w:rPr>
            </w:pPr>
            <w:r w:rsidRPr="005F703E">
              <w:rPr>
                <w:sz w:val="20"/>
                <w:szCs w:val="20"/>
              </w:rPr>
              <w:t>yes</w:t>
            </w:r>
          </w:p>
        </w:tc>
        <w:tc>
          <w:tcPr>
            <w:tcW w:w="1006" w:type="dxa"/>
            <w:vAlign w:val="center"/>
          </w:tcPr>
          <w:p w:rsidR="00BA6265" w:rsidRPr="005F703E" w:rsidRDefault="00BA6265" w:rsidP="00660039">
            <w:pPr>
              <w:keepNext/>
              <w:rPr>
                <w:sz w:val="20"/>
                <w:szCs w:val="20"/>
              </w:rPr>
            </w:pPr>
            <w:r w:rsidRPr="005F703E">
              <w:rPr>
                <w:sz w:val="20"/>
                <w:szCs w:val="20"/>
              </w:rPr>
              <w:t>yes</w:t>
            </w:r>
          </w:p>
        </w:tc>
        <w:tc>
          <w:tcPr>
            <w:tcW w:w="5231" w:type="dxa"/>
            <w:vMerge/>
            <w:vAlign w:val="center"/>
          </w:tcPr>
          <w:p w:rsidR="00BA6265" w:rsidRPr="00DA4F2D" w:rsidRDefault="00BA6265" w:rsidP="00660039">
            <w:pPr>
              <w:keepNext/>
            </w:pPr>
          </w:p>
        </w:tc>
      </w:tr>
      <w:tr w:rsidR="00BA6265" w:rsidRPr="00DA4F2D" w:rsidTr="0034395B">
        <w:trPr>
          <w:trHeight w:val="312"/>
        </w:trPr>
        <w:tc>
          <w:tcPr>
            <w:tcW w:w="2460" w:type="dxa"/>
            <w:gridSpan w:val="2"/>
            <w:vAlign w:val="center"/>
          </w:tcPr>
          <w:p w:rsidR="00BA6265" w:rsidRPr="005F703E" w:rsidRDefault="00BA6265" w:rsidP="0034395B">
            <w:pPr>
              <w:keepNext/>
              <w:rPr>
                <w:sz w:val="20"/>
                <w:szCs w:val="20"/>
              </w:rPr>
            </w:pPr>
            <w:r w:rsidRPr="005F703E">
              <w:rPr>
                <w:sz w:val="20"/>
                <w:szCs w:val="20"/>
              </w:rPr>
              <w:t>baseline measurement</w:t>
            </w:r>
          </w:p>
        </w:tc>
        <w:tc>
          <w:tcPr>
            <w:tcW w:w="1192" w:type="dxa"/>
            <w:vAlign w:val="center"/>
          </w:tcPr>
          <w:p w:rsidR="00BA6265" w:rsidRPr="005F703E" w:rsidRDefault="00BA6265" w:rsidP="00660039">
            <w:pPr>
              <w:keepNext/>
              <w:rPr>
                <w:sz w:val="20"/>
                <w:szCs w:val="20"/>
              </w:rPr>
            </w:pPr>
            <w:r w:rsidRPr="005F703E">
              <w:rPr>
                <w:sz w:val="20"/>
                <w:szCs w:val="20"/>
              </w:rPr>
              <w:t>yes</w:t>
            </w:r>
          </w:p>
        </w:tc>
        <w:tc>
          <w:tcPr>
            <w:tcW w:w="1006" w:type="dxa"/>
            <w:vAlign w:val="center"/>
          </w:tcPr>
          <w:p w:rsidR="00BA6265" w:rsidRPr="005F703E" w:rsidRDefault="00BA6265" w:rsidP="00660039">
            <w:pPr>
              <w:keepNext/>
              <w:rPr>
                <w:sz w:val="20"/>
                <w:szCs w:val="20"/>
              </w:rPr>
            </w:pPr>
            <w:r w:rsidRPr="005F703E">
              <w:rPr>
                <w:sz w:val="20"/>
                <w:szCs w:val="20"/>
              </w:rPr>
              <w:t>yes</w:t>
            </w:r>
          </w:p>
        </w:tc>
        <w:tc>
          <w:tcPr>
            <w:tcW w:w="5231" w:type="dxa"/>
            <w:vMerge/>
            <w:vAlign w:val="center"/>
          </w:tcPr>
          <w:p w:rsidR="00BA6265" w:rsidRPr="00DA4F2D" w:rsidRDefault="00BA6265" w:rsidP="00660039">
            <w:pPr>
              <w:keepNext/>
            </w:pPr>
          </w:p>
        </w:tc>
      </w:tr>
      <w:tr w:rsidR="00BA6265" w:rsidRPr="00DA4F2D" w:rsidTr="0034395B">
        <w:trPr>
          <w:trHeight w:val="312"/>
        </w:trPr>
        <w:tc>
          <w:tcPr>
            <w:tcW w:w="2460" w:type="dxa"/>
            <w:gridSpan w:val="2"/>
            <w:vAlign w:val="center"/>
          </w:tcPr>
          <w:p w:rsidR="00BA6265" w:rsidRPr="005F703E" w:rsidRDefault="00BA6265" w:rsidP="0034395B">
            <w:pPr>
              <w:keepNext/>
              <w:rPr>
                <w:sz w:val="20"/>
                <w:szCs w:val="20"/>
              </w:rPr>
            </w:pPr>
            <w:r w:rsidRPr="005F703E">
              <w:rPr>
                <w:sz w:val="20"/>
                <w:szCs w:val="20"/>
              </w:rPr>
              <w:t>reliable primary outcome measure</w:t>
            </w:r>
          </w:p>
        </w:tc>
        <w:tc>
          <w:tcPr>
            <w:tcW w:w="1192" w:type="dxa"/>
            <w:vAlign w:val="center"/>
          </w:tcPr>
          <w:p w:rsidR="00BA6265" w:rsidRPr="005F703E" w:rsidRDefault="00BA6265" w:rsidP="00660039">
            <w:pPr>
              <w:keepNext/>
              <w:rPr>
                <w:sz w:val="20"/>
                <w:szCs w:val="20"/>
              </w:rPr>
            </w:pPr>
            <w:r w:rsidRPr="005F703E">
              <w:rPr>
                <w:sz w:val="20"/>
                <w:szCs w:val="20"/>
              </w:rPr>
              <w:t>yes</w:t>
            </w:r>
          </w:p>
        </w:tc>
        <w:tc>
          <w:tcPr>
            <w:tcW w:w="1006" w:type="dxa"/>
            <w:vAlign w:val="center"/>
          </w:tcPr>
          <w:p w:rsidR="00BA6265" w:rsidRPr="005F703E" w:rsidRDefault="00BA6265" w:rsidP="00660039">
            <w:pPr>
              <w:keepNext/>
              <w:rPr>
                <w:sz w:val="20"/>
                <w:szCs w:val="20"/>
              </w:rPr>
            </w:pPr>
            <w:r w:rsidRPr="005F703E">
              <w:rPr>
                <w:sz w:val="20"/>
                <w:szCs w:val="20"/>
              </w:rPr>
              <w:t>yes</w:t>
            </w:r>
          </w:p>
        </w:tc>
        <w:tc>
          <w:tcPr>
            <w:tcW w:w="5231" w:type="dxa"/>
            <w:vMerge/>
            <w:vAlign w:val="center"/>
          </w:tcPr>
          <w:p w:rsidR="00BA6265" w:rsidRPr="00DA4F2D" w:rsidRDefault="00BA6265" w:rsidP="00660039">
            <w:pPr>
              <w:keepNext/>
            </w:pPr>
          </w:p>
        </w:tc>
      </w:tr>
      <w:tr w:rsidR="00BA6265" w:rsidRPr="00DA4F2D" w:rsidTr="0034395B">
        <w:trPr>
          <w:trHeight w:val="965"/>
        </w:trPr>
        <w:tc>
          <w:tcPr>
            <w:tcW w:w="2460" w:type="dxa"/>
            <w:gridSpan w:val="2"/>
            <w:vAlign w:val="center"/>
          </w:tcPr>
          <w:p w:rsidR="00BA6265" w:rsidRPr="005F703E" w:rsidRDefault="00BA6265" w:rsidP="0034395B">
            <w:pPr>
              <w:keepNext/>
              <w:rPr>
                <w:sz w:val="20"/>
                <w:szCs w:val="20"/>
              </w:rPr>
            </w:pPr>
            <w:r w:rsidRPr="005F703E">
              <w:rPr>
                <w:sz w:val="20"/>
                <w:szCs w:val="20"/>
              </w:rPr>
              <w:t>protection against contamination</w:t>
            </w:r>
          </w:p>
        </w:tc>
        <w:tc>
          <w:tcPr>
            <w:tcW w:w="1192" w:type="dxa"/>
            <w:vAlign w:val="center"/>
          </w:tcPr>
          <w:p w:rsidR="00BA6265" w:rsidRPr="005F703E" w:rsidRDefault="00BA6265" w:rsidP="00660039">
            <w:pPr>
              <w:keepNext/>
              <w:rPr>
                <w:sz w:val="20"/>
                <w:szCs w:val="20"/>
              </w:rPr>
            </w:pPr>
            <w:r w:rsidRPr="005F703E">
              <w:rPr>
                <w:sz w:val="20"/>
                <w:szCs w:val="20"/>
              </w:rPr>
              <w:t>unclear</w:t>
            </w:r>
          </w:p>
        </w:tc>
        <w:tc>
          <w:tcPr>
            <w:tcW w:w="1006" w:type="dxa"/>
            <w:vAlign w:val="center"/>
          </w:tcPr>
          <w:p w:rsidR="00BA6265" w:rsidRPr="005F703E" w:rsidRDefault="00BA6265" w:rsidP="00660039">
            <w:pPr>
              <w:keepNext/>
              <w:rPr>
                <w:sz w:val="20"/>
                <w:szCs w:val="20"/>
              </w:rPr>
            </w:pPr>
            <w:r w:rsidRPr="005F703E">
              <w:rPr>
                <w:sz w:val="20"/>
                <w:szCs w:val="20"/>
              </w:rPr>
              <w:t>unclear</w:t>
            </w:r>
          </w:p>
        </w:tc>
        <w:tc>
          <w:tcPr>
            <w:tcW w:w="5231" w:type="dxa"/>
            <w:vMerge/>
            <w:vAlign w:val="center"/>
          </w:tcPr>
          <w:p w:rsidR="00BA6265" w:rsidRPr="00DA4F2D" w:rsidRDefault="00BA6265" w:rsidP="00660039">
            <w:pPr>
              <w:keepNext/>
            </w:pPr>
          </w:p>
        </w:tc>
      </w:tr>
    </w:tbl>
    <w:p w:rsidR="00BA6265" w:rsidRPr="0034395B" w:rsidRDefault="00BA6265" w:rsidP="00660039">
      <w:pPr>
        <w:keepNext/>
        <w:autoSpaceDE w:val="0"/>
        <w:autoSpaceDN w:val="0"/>
        <w:adjustRightInd w:val="0"/>
        <w:rPr>
          <w:sz w:val="22"/>
          <w:szCs w:val="22"/>
        </w:rPr>
      </w:pPr>
      <w:r w:rsidRPr="0034395B">
        <w:rPr>
          <w:sz w:val="22"/>
          <w:szCs w:val="22"/>
          <w:vertAlign w:val="superscript"/>
        </w:rPr>
        <w:t>1</w:t>
      </w:r>
      <w:r w:rsidRPr="0034395B">
        <w:rPr>
          <w:sz w:val="22"/>
          <w:szCs w:val="22"/>
        </w:rPr>
        <w:t xml:space="preserve">Risk of Bias. </w:t>
      </w:r>
      <w:r w:rsidRPr="0034395B">
        <w:rPr>
          <w:sz w:val="22"/>
          <w:szCs w:val="22"/>
          <w:vertAlign w:val="superscript"/>
        </w:rPr>
        <w:t>2</w:t>
      </w:r>
      <w:r w:rsidRPr="0034395B">
        <w:rPr>
          <w:sz w:val="22"/>
          <w:szCs w:val="22"/>
        </w:rPr>
        <w:t xml:space="preserve">Low ROB ≥5/6 criteria. </w:t>
      </w:r>
      <w:r w:rsidRPr="0034395B">
        <w:rPr>
          <w:sz w:val="22"/>
          <w:szCs w:val="22"/>
          <w:vertAlign w:val="superscript"/>
        </w:rPr>
        <w:t>3</w:t>
      </w:r>
      <w:r w:rsidRPr="0034395B">
        <w:rPr>
          <w:sz w:val="22"/>
          <w:szCs w:val="22"/>
        </w:rPr>
        <w:t xml:space="preserve">Medium ROB 3-4/6 criteria. </w:t>
      </w:r>
      <w:r w:rsidRPr="0034395B">
        <w:rPr>
          <w:sz w:val="22"/>
          <w:szCs w:val="22"/>
          <w:vertAlign w:val="superscript"/>
        </w:rPr>
        <w:t>4</w:t>
      </w:r>
      <w:r w:rsidRPr="0034395B">
        <w:rPr>
          <w:sz w:val="22"/>
          <w:szCs w:val="22"/>
        </w:rPr>
        <w:t>High ROB &lt; 3 criteria.</w:t>
      </w:r>
    </w:p>
    <w:p w:rsidR="00BA6265" w:rsidRDefault="00BA6265" w:rsidP="00660039"/>
    <w:p w:rsidR="00C96163" w:rsidRDefault="00C96163" w:rsidP="00660039"/>
    <w:p w:rsidR="00BA6265" w:rsidRPr="00DA4F2D" w:rsidRDefault="00BA6265" w:rsidP="00660039">
      <w:r w:rsidRPr="00DA4F2D">
        <w:t>In both studies</w:t>
      </w:r>
      <w:r>
        <w:t>,</w:t>
      </w:r>
      <w:r w:rsidRPr="00DA4F2D">
        <w:t xml:space="preserve"> the </w:t>
      </w:r>
      <w:r>
        <w:t>SMS message content</w:t>
      </w:r>
      <w:r w:rsidRPr="00DA4F2D">
        <w:t xml:space="preserve"> was developed after consult</w:t>
      </w:r>
      <w:r>
        <w:t>ing</w:t>
      </w:r>
      <w:r w:rsidRPr="00DA4F2D">
        <w:t xml:space="preserve"> with clinic staff and </w:t>
      </w:r>
      <w:r>
        <w:t xml:space="preserve">others. This was </w:t>
      </w:r>
      <w:r w:rsidRPr="00DA4F2D">
        <w:t xml:space="preserve">to ensure message appropriateness </w:t>
      </w:r>
      <w:r>
        <w:t xml:space="preserve">and </w:t>
      </w:r>
      <w:r w:rsidRPr="00DA4F2D">
        <w:t>a good level of acceptability</w:t>
      </w:r>
      <w:r>
        <w:t xml:space="preserve"> by recipients</w:t>
      </w:r>
      <w:r w:rsidRPr="00DA4F2D">
        <w:t>. Adherence was measured at the 90% level for one medication</w:t>
      </w:r>
      <w:r>
        <w:t xml:space="preserve"> in the Kenyan study </w:t>
      </w:r>
      <w:r w:rsidRPr="00DA4F2D">
        <w:t xml:space="preserve"> </w:t>
      </w:r>
      <w:r w:rsidR="009B5648">
        <w:fldChar w:fldCharType="begin"/>
      </w:r>
      <w:r>
        <w:instrText xml:space="preserve"> ADDIN REFMGR.CITE &lt;Refman&gt;&lt;Cite&gt;&lt;Author&gt;Pop-Eleches&lt;/Author&gt;&lt;Year&gt;2011&lt;/Year&gt;&lt;RecNum&gt;2&lt;/RecNum&gt;&lt;IDText&gt;Mobile phone technologies improve adherence to antiretroviral treatment in a resource-limited setting: a randomized controlled trial of text message reminders&lt;/IDText&gt;&lt;MDL Ref_Type="Journal"&gt;&lt;Ref_Type&gt;Journal&lt;/Ref_Type&gt;&lt;Ref_ID&gt;2&lt;/Ref_ID&gt;&lt;Title_Primary&gt;Mobile phone technologies improve adherence to antiretroviral treatment in a resource-limited setting: a randomized controlled trial of text message reminders&lt;/Title_Primary&gt;&lt;Authors_Primary&gt;Pop-Eleches,C.&lt;/Authors_Primary&gt;&lt;Authors_Primary&gt;Thirumurthy,H.&lt;/Authors_Primary&gt;&lt;Authors_Primary&gt;Habyarimana,J.P.&lt;/Authors_Primary&gt;&lt;Authors_Primary&gt;Zivin,J.G.&lt;/Authors_Primary&gt;&lt;Authors_Primary&gt;Goldstein,M.P.&lt;/Authors_Primary&gt;&lt;Authors_Primary&gt;de,Walque D.&lt;/Authors_Primary&gt;&lt;Authors_Primary&gt;MacKeen,L.&lt;/Authors_Primary&gt;&lt;Authors_Primary&gt;Haberer,J.&lt;/Authors_Primary&gt;&lt;Authors_Primary&gt;Kimaiyo,S.&lt;/Authors_Primary&gt;&lt;Authors_Primary&gt;Sidle,J.&lt;/Authors_Primary&gt;&lt;Authors_Primary&gt;Ngare,D.&lt;/Authors_Primary&gt;&lt;Authors_Primary&gt;Bangsberg,D.R.&lt;/Authors_Primary&gt;&lt;Date_Primary&gt;2011/3/27&lt;/Date_Primary&gt;&lt;Keywords&gt;Adult&lt;/Keywords&gt;&lt;Keywords&gt;Anti-Retroviral Agents&lt;/Keywords&gt;&lt;Keywords&gt;Cellular Phone&lt;/Keywords&gt;&lt;Keywords&gt;drug therapy&lt;/Keywords&gt;&lt;Keywords&gt;Female&lt;/Keywords&gt;&lt;Keywords&gt;Health Services Accessibility&lt;/Keywords&gt;&lt;Keywords&gt;HIV Infections&lt;/Keywords&gt;&lt;Keywords&gt;Humans&lt;/Keywords&gt;&lt;Keywords&gt;instrumentation&lt;/Keywords&gt;&lt;Keywords&gt;Kenya&lt;/Keywords&gt;&lt;Keywords&gt;Male&lt;/Keywords&gt;&lt;Keywords&gt;Patient Compliance&lt;/Keywords&gt;&lt;Keywords&gt;Reminder Systems&lt;/Keywords&gt;&lt;Keywords&gt;Rural Health&lt;/Keywords&gt;&lt;Keywords&gt;standards&lt;/Keywords&gt;&lt;Keywords&gt;therapeutic use&lt;/Keywords&gt;&lt;Reprint&gt;Not in File&lt;/Reprint&gt;&lt;Start_Page&gt;825&lt;/Start_Page&gt;&lt;End_Page&gt;834&lt;/End_Page&gt;&lt;Periodical&gt;AIDS&lt;/Periodical&gt;&lt;Volume&gt;25&lt;/Volume&gt;&lt;Issue&gt;6&lt;/Issue&gt;&lt;Address&gt;School of International and Public Affairs, Columbia University, New York, New York, USA&lt;/Address&gt;&lt;Web_URL&gt;PM:21252632&lt;/Web_URL&gt;&lt;ZZ_JournalStdAbbrev&gt;&lt;f name="System"&gt;AIDS&lt;/f&gt;&lt;/ZZ_JournalStdAbbrev&gt;&lt;ZZ_WorkformID&gt;1&lt;/ZZ_WorkformID&gt;&lt;/MDL&gt;&lt;/Cite&gt;&lt;/Refman&gt;</w:instrText>
      </w:r>
      <w:r w:rsidR="009B5648">
        <w:fldChar w:fldCharType="separate"/>
      </w:r>
      <w:r>
        <w:t>[22]</w:t>
      </w:r>
      <w:r w:rsidR="009B5648">
        <w:fldChar w:fldCharType="end"/>
      </w:r>
      <w:r w:rsidRPr="00DA4F2D">
        <w:t xml:space="preserve"> and as the percentage of participants with adherence &gt;95% in the </w:t>
      </w:r>
      <w:r>
        <w:t>Brazilian</w:t>
      </w:r>
      <w:r w:rsidRPr="00DA4F2D">
        <w:t xml:space="preserve"> study</w:t>
      </w:r>
      <w:r>
        <w:t xml:space="preserve"> </w:t>
      </w:r>
      <w:r w:rsidR="009B5648">
        <w:fldChar w:fldCharType="begin"/>
      </w:r>
      <w:r>
        <w:instrText xml:space="preserve"> ADDIN REFMGR.CITE &lt;Refman&gt;&lt;Cite&gt;&lt;Author&gt;da Costa&lt;/Author&gt;&lt;Year&gt;2012&lt;/Year&gt;&lt;RecNum&gt;3090&lt;/RecNum&gt;&lt;IDText&gt;Results of a randomized controlled trial to assess the effects of a mobile SMS-based intervention on treatment adherence in HIV/AIDS-infected Brazilian women and impressions and satisfaction with respect to incoming messages&lt;/IDText&gt;&lt;MDL Ref_Type="Journal"&gt;&lt;Ref_Type&gt;Journal&lt;/Ref_Type&gt;&lt;Ref_ID&gt;3090&lt;/Ref_ID&gt;&lt;Title_Primary&gt;Results of a randomized controlled trial to assess the effects of a mobile SMS-based intervention on treatment adherence in HIV/AIDS-infected Brazilian women and impressions and satisfaction with respect to incoming messages&lt;/Title_Primary&gt;&lt;Authors_Primary&gt;da Costa,T.M.&lt;/Authors_Primary&gt;&lt;Authors_Primary&gt;Barbosa,B.J.&lt;/Authors_Primary&gt;&lt;Authors_Primary&gt;Gomes e Costa DA&lt;/Authors_Primary&gt;&lt;Authors_Primary&gt;Sigulem,D.&lt;/Authors_Primary&gt;&lt;Authors_Primary&gt;de Fatima,Marin H.&lt;/Authors_Primary&gt;&lt;Authors_Primary&gt;Filho,A.C.&lt;/Authors_Primary&gt;&lt;Authors_Primary&gt;Pisa,I.T.&lt;/Authors_Primary&gt;&lt;Date_Primary&gt;2012/4&lt;/Date_Primary&gt;&lt;Keywords&gt;Acquired Immunodeficiency Syndrome&lt;/Keywords&gt;&lt;Keywords&gt;administration &amp;amp; dosage&lt;/Keywords&gt;&lt;Keywords&gt;Adult&lt;/Keywords&gt;&lt;Keywords&gt;Anti-HIV Agents&lt;/Keywords&gt;&lt;Keywords&gt;Brazil&lt;/Keywords&gt;&lt;Keywords&gt;Case-Control Studies&lt;/Keywords&gt;&lt;Keywords&gt;drug therapy&lt;/Keywords&gt;&lt;Keywords&gt;Female&lt;/Keywords&gt;&lt;Keywords&gt;Health&lt;/Keywords&gt;&lt;Keywords&gt;Health Behavior&lt;/Keywords&gt;&lt;Keywords&gt;Health Services Accessibility&lt;/Keywords&gt;&lt;Keywords&gt;HIV Infections&lt;/Keywords&gt;&lt;Keywords&gt;Hiv-1&lt;/Keywords&gt;&lt;Keywords&gt;Humans&lt;/Keywords&gt;&lt;Keywords&gt;Medication Adherence&lt;/Keywords&gt;&lt;Keywords&gt;pathogenicity&lt;/Keywords&gt;&lt;Keywords&gt;Patient Compliance&lt;/Keywords&gt;&lt;Keywords&gt;Persuasive Communication&lt;/Keywords&gt;&lt;Keywords&gt;Reminder Systems&lt;/Keywords&gt;&lt;Keywords&gt;Research&lt;/Keywords&gt;&lt;Keywords&gt;standards&lt;/Keywords&gt;&lt;Keywords&gt;Text Messaging&lt;/Keywords&gt;&lt;Keywords&gt;therapy&lt;/Keywords&gt;&lt;Keywords&gt;Treatment Outcome&lt;/Keywords&gt;&lt;Reprint&gt;Not in File&lt;/Reprint&gt;&lt;Start_Page&gt;257&lt;/Start_Page&gt;&lt;End_Page&gt;269&lt;/End_Page&gt;&lt;Periodical&gt;Int.J.Med.Inform.&lt;/Periodical&gt;&lt;Volume&gt;81&lt;/Volume&gt;&lt;Issue&gt;4&lt;/Issue&gt;&lt;Address&gt;Health Informatics Postgraduate Program, Universidade Federal de Sao Paulo (UNIFESP), Sao Paulo, SP, Brazil. tmartinicosta@gmail.com&lt;/Address&gt;&lt;Web_URL&gt;PM:22296762&lt;/Web_URL&gt;&lt;ZZ_JournalStdAbbrev&gt;&lt;f name="System"&gt;Int.J.Med.Inform.&lt;/f&gt;&lt;/ZZ_JournalStdAbbrev&gt;&lt;ZZ_WorkformID&gt;1&lt;/ZZ_WorkformID&gt;&lt;/MDL&gt;&lt;/Cite&gt;&lt;/Refman&gt;</w:instrText>
      </w:r>
      <w:r w:rsidR="009B5648">
        <w:fldChar w:fldCharType="separate"/>
      </w:r>
      <w:r>
        <w:t>[16]</w:t>
      </w:r>
      <w:r w:rsidR="009B5648">
        <w:fldChar w:fldCharType="end"/>
      </w:r>
      <w:r w:rsidRPr="00DA4F2D">
        <w:t xml:space="preserve">. The </w:t>
      </w:r>
      <w:r>
        <w:t xml:space="preserve">Brazilian study </w:t>
      </w:r>
      <w:r w:rsidRPr="00DA4F2D">
        <w:t>measured adherence by three means: self-reporting, pill counting, and via a monitoring devi</w:t>
      </w:r>
      <w:r>
        <w:t>c</w:t>
      </w:r>
      <w:r w:rsidRPr="00DA4F2D">
        <w:t xml:space="preserve">e built into the lid of the medication bottle. </w:t>
      </w:r>
    </w:p>
    <w:p w:rsidR="00BA6265" w:rsidRPr="00DA4F2D" w:rsidRDefault="00BA6265" w:rsidP="00660039"/>
    <w:p w:rsidR="00BA6265" w:rsidRDefault="00BA6265" w:rsidP="00660039">
      <w:r w:rsidRPr="00DA4F2D">
        <w:lastRenderedPageBreak/>
        <w:t xml:space="preserve">The </w:t>
      </w:r>
      <w:r>
        <w:t xml:space="preserve">Kenyan </w:t>
      </w:r>
      <w:r w:rsidRPr="00DA4F2D">
        <w:t xml:space="preserve">study </w:t>
      </w:r>
      <w:r>
        <w:t xml:space="preserve">also </w:t>
      </w:r>
      <w:r w:rsidRPr="00DA4F2D">
        <w:t>used the latter method to measure adherence. The theory underlying intervention design included:</w:t>
      </w:r>
    </w:p>
    <w:p w:rsidR="00BA6265" w:rsidRPr="00DA4F2D" w:rsidRDefault="00BA6265" w:rsidP="00C25113">
      <w:pPr>
        <w:numPr>
          <w:ilvl w:val="0"/>
          <w:numId w:val="8"/>
        </w:numPr>
        <w:tabs>
          <w:tab w:val="clear" w:pos="720"/>
          <w:tab w:val="num" w:pos="1418"/>
        </w:tabs>
        <w:spacing w:before="240"/>
        <w:ind w:left="1417" w:hanging="697"/>
      </w:pPr>
      <w:r w:rsidRPr="00DA4F2D">
        <w:t xml:space="preserve">Four text message intervention types (short, long/daily, weekly) were used to address perceived different barriers to adherence, for example - forgetfulness and lack of social support. </w:t>
      </w:r>
    </w:p>
    <w:p w:rsidR="00BA6265" w:rsidRPr="00DA4F2D" w:rsidRDefault="00BA6265" w:rsidP="00C25113">
      <w:pPr>
        <w:numPr>
          <w:ilvl w:val="0"/>
          <w:numId w:val="8"/>
        </w:numPr>
        <w:tabs>
          <w:tab w:val="clear" w:pos="720"/>
          <w:tab w:val="num" w:pos="1418"/>
        </w:tabs>
        <w:spacing w:before="240"/>
        <w:ind w:left="1417" w:hanging="697"/>
      </w:pPr>
      <w:r w:rsidRPr="00DA4F2D">
        <w:t>The short messages serve</w:t>
      </w:r>
      <w:r>
        <w:t>d</w:t>
      </w:r>
      <w:r w:rsidRPr="00DA4F2D">
        <w:t xml:space="preserve"> as simple reminders and long messages provide</w:t>
      </w:r>
      <w:r>
        <w:t>d</w:t>
      </w:r>
      <w:r w:rsidRPr="00DA4F2D">
        <w:t xml:space="preserve"> some additional social support. Daily messages were sent close to the time of medication usage. </w:t>
      </w:r>
    </w:p>
    <w:p w:rsidR="00BA6265" w:rsidRPr="00DA4F2D" w:rsidRDefault="00BA6265" w:rsidP="00C25113">
      <w:pPr>
        <w:numPr>
          <w:ilvl w:val="0"/>
          <w:numId w:val="8"/>
        </w:numPr>
        <w:tabs>
          <w:tab w:val="clear" w:pos="720"/>
          <w:tab w:val="num" w:pos="1418"/>
        </w:tabs>
        <w:spacing w:before="240"/>
        <w:ind w:left="1417" w:hanging="697"/>
      </w:pPr>
      <w:r w:rsidRPr="00DA4F2D">
        <w:t>Weekly messages were meant to avoid the possibility of patients developing a dependence on the reminder system.</w:t>
      </w:r>
    </w:p>
    <w:p w:rsidR="00BA6265" w:rsidRPr="00DA4F2D" w:rsidRDefault="00BA6265" w:rsidP="00C25113">
      <w:pPr>
        <w:numPr>
          <w:ilvl w:val="0"/>
          <w:numId w:val="8"/>
        </w:numPr>
        <w:tabs>
          <w:tab w:val="clear" w:pos="720"/>
          <w:tab w:val="num" w:pos="1418"/>
        </w:tabs>
        <w:spacing w:before="240"/>
        <w:ind w:left="1417" w:hanging="697"/>
      </w:pPr>
      <w:r w:rsidRPr="00DA4F2D">
        <w:t xml:space="preserve">HIV and </w:t>
      </w:r>
      <w:r>
        <w:t>antiretroviral therapy (</w:t>
      </w:r>
      <w:r w:rsidRPr="00DA4F2D">
        <w:t>ART</w:t>
      </w:r>
      <w:r>
        <w:t>)</w:t>
      </w:r>
      <w:r w:rsidRPr="00DA4F2D">
        <w:t xml:space="preserve"> were not included in messages to ensure participant privacy.</w:t>
      </w:r>
    </w:p>
    <w:p w:rsidR="00BA6265" w:rsidRDefault="00BA6265" w:rsidP="00660039"/>
    <w:p w:rsidR="00BA6265" w:rsidRPr="00DA4F2D" w:rsidRDefault="00BA6265" w:rsidP="00660039">
      <w:r>
        <w:t>P</w:t>
      </w:r>
      <w:r w:rsidRPr="00DA4F2D">
        <w:t xml:space="preserve">articipants </w:t>
      </w:r>
      <w:r>
        <w:t>i</w:t>
      </w:r>
      <w:r w:rsidRPr="00DA4F2D">
        <w:t xml:space="preserve">n </w:t>
      </w:r>
      <w:r>
        <w:t xml:space="preserve">the Kenyan </w:t>
      </w:r>
      <w:r w:rsidRPr="00DA4F2D">
        <w:t xml:space="preserve">study were provided with mobile phones at no cost. All participants received 15-minute lessons to ensure they could work the phone and read messages. The study provided practical and financial assistance to participants, </w:t>
      </w:r>
      <w:r>
        <w:t>for example -</w:t>
      </w:r>
      <w:r w:rsidRPr="00DA4F2D">
        <w:t xml:space="preserve"> financial assistance to charge phones (some homes were without electricity), financial support to pay for travel to appointments. Across the four intervention groups, 69 participants (24%) lost their phones and these were not replaced. Fifty-one participants (18%) changed phone numbers. On several occasions, the mobile phone wireless system was interrupted so participants did not receive messages. The authors of this study hypothesised that habituation, or the diminishing of a response to a frequently repeated stimulus might explain why weekly reminders improved adherence when daily reminders did not. They also considered that participants might have felt daily reminders to be intrusive.</w:t>
      </w:r>
    </w:p>
    <w:p w:rsidR="00BA6265" w:rsidRPr="00DA4F2D" w:rsidRDefault="00BA6265" w:rsidP="00660039"/>
    <w:p w:rsidR="00BA6265" w:rsidRPr="00DA4F2D" w:rsidRDefault="00BA6265" w:rsidP="00660039">
      <w:r w:rsidRPr="00DA4F2D">
        <w:t xml:space="preserve">In the </w:t>
      </w:r>
      <w:r>
        <w:t>Brazilian</w:t>
      </w:r>
      <w:r w:rsidRPr="00DA4F2D">
        <w:t xml:space="preserve"> study, patients were excluded from the study </w:t>
      </w:r>
      <w:r>
        <w:t xml:space="preserve">if they </w:t>
      </w:r>
      <w:r w:rsidRPr="00DA4F2D">
        <w:t xml:space="preserve">did not </w:t>
      </w:r>
      <w:r>
        <w:t>already own a</w:t>
      </w:r>
      <w:r w:rsidRPr="00DA4F2D">
        <w:t xml:space="preserve"> mobile phone </w:t>
      </w:r>
      <w:r>
        <w:t xml:space="preserve">or if they were </w:t>
      </w:r>
      <w:r w:rsidRPr="00DA4F2D">
        <w:t>illiterate</w:t>
      </w:r>
      <w:r>
        <w:t>.</w:t>
      </w:r>
      <w:r w:rsidRPr="00DA4F2D">
        <w:t xml:space="preserve"> All participants (intervention and control) were </w:t>
      </w:r>
      <w:r>
        <w:t>judged experienced</w:t>
      </w:r>
      <w:r w:rsidRPr="00DA4F2D">
        <w:t xml:space="preserve"> SMS users</w:t>
      </w:r>
      <w:r>
        <w:t xml:space="preserve"> at the commencement of the intervention</w:t>
      </w:r>
      <w:r w:rsidRPr="00DA4F2D">
        <w:t>. A single identical SMS message was automatically sent 30 minutes before the required time of the last required medication dose on each occasion. The message read “</w:t>
      </w:r>
      <w:r w:rsidRPr="00DA4F2D">
        <w:rPr>
          <w:i/>
        </w:rPr>
        <w:t>The UNIFESP informs: take good care of your health</w:t>
      </w:r>
      <w:r w:rsidRPr="00DA4F2D">
        <w:t xml:space="preserve">” (p. 259). </w:t>
      </w:r>
      <w:r>
        <w:t xml:space="preserve">The intervention was delivered for three months. </w:t>
      </w:r>
      <w:r w:rsidRPr="00DA4F2D">
        <w:t xml:space="preserve">The schedule for sending was every Saturday and Sunday and on alternate days throughout the working week. No response was required from participants. The message was not sent daily because the researchers felt this could aggravate participants or lead them to trivialise the messages. </w:t>
      </w:r>
    </w:p>
    <w:p w:rsidR="00BA6265" w:rsidRPr="00DA4F2D" w:rsidRDefault="00BA6265" w:rsidP="00660039"/>
    <w:p w:rsidR="00BA6265" w:rsidRPr="00DA4F2D" w:rsidRDefault="00BA6265" w:rsidP="00660039">
      <w:r w:rsidRPr="00DA4F2D">
        <w:t xml:space="preserve">The authors of the review concluded that policy-makers should consider funding programs proposing to provide weekly SMS as a means for promoting adherence to antiretroviral therapy. They </w:t>
      </w:r>
      <w:r>
        <w:t>suggest</w:t>
      </w:r>
      <w:r w:rsidRPr="00DA4F2D">
        <w:t xml:space="preserve"> there is a need for large RCTs of this intervention in adolescent populations and resource rich countries.</w:t>
      </w:r>
    </w:p>
    <w:p w:rsidR="00BA6265" w:rsidRDefault="00BA6265" w:rsidP="00C96163">
      <w:pPr>
        <w:pStyle w:val="Heading7"/>
      </w:pPr>
      <w:r w:rsidRPr="00E92ACE">
        <w:t xml:space="preserve">Mobile-phone text messaging (SMS) </w:t>
      </w:r>
      <w:r>
        <w:t xml:space="preserve">to </w:t>
      </w:r>
      <w:r w:rsidRPr="00E92ACE">
        <w:t xml:space="preserve">mothers of preschool children </w:t>
      </w:r>
      <w:r>
        <w:t>promoting improved oral hygiene behaviour to reduce dental caries</w:t>
      </w:r>
    </w:p>
    <w:p w:rsidR="00BA6265" w:rsidRDefault="00BA6265" w:rsidP="00660039">
      <w:r w:rsidRPr="00DA4F2D">
        <w:t>One study</w:t>
      </w:r>
      <w:r>
        <w:t xml:space="preserve"> </w:t>
      </w:r>
      <w:r w:rsidR="009B5648">
        <w:fldChar w:fldCharType="begin"/>
      </w:r>
      <w:r>
        <w:instrText xml:space="preserve"> ADDIN REFMGR.CITE &lt;Refman&gt;&lt;Cite&gt;&lt;Author&gt;Sharma&lt;/Author&gt;&lt;Year&gt;2011&lt;/Year&gt;&lt;RecNum&gt;3&lt;/RecNum&gt;&lt;IDText&gt;Mobile-phone text messaging (SMS) for providing oral health education to mothers of preschool children in Belgaum City&lt;/IDText&gt;&lt;MDL Ref_Type="Journal"&gt;&lt;Ref_Type&gt;Journal&lt;/Ref_Type&gt;&lt;Ref_ID&gt;3&lt;/Ref_ID&gt;&lt;Title_Primary&gt;Mobile-phone text messaging (SMS) for providing oral health education to mothers of preschool children in Belgaum City&lt;/Title_Primary&gt;&lt;Authors_Primary&gt;Sharma,R.&lt;/Authors_Primary&gt;&lt;Authors_Primary&gt;Hebbal,M.&lt;/Authors_Primary&gt;&lt;Authors_Primary&gt;Ankola,A.V.&lt;/Authors_Primary&gt;&lt;Authors_Primary&gt;Murugabupathy,V.&lt;/Authors_Primary&gt;&lt;Date_Primary&gt;2011&lt;/Date_Primary&gt;&lt;Keywords&gt;Analysis of Variance&lt;/Keywords&gt;&lt;Keywords&gt;Child,Preschool&lt;/Keywords&gt;&lt;Keywords&gt;Dental Plaque&lt;/Keywords&gt;&lt;Keywords&gt;Dental Plaque Index&lt;/Keywords&gt;&lt;Keywords&gt;education&lt;/Keywords&gt;&lt;Keywords&gt;Female&lt;/Keywords&gt;&lt;Keywords&gt;Health Education,Dental&lt;/Keywords&gt;&lt;Keywords&gt;Health Knowledge,Attitudes,Practice&lt;/Keywords&gt;&lt;Keywords&gt;Humans&lt;/Keywords&gt;&lt;Keywords&gt;India&lt;/Keywords&gt;&lt;Keywords&gt;Infant&lt;/Keywords&gt;&lt;Keywords&gt;Male&lt;/Keywords&gt;&lt;Keywords&gt;methods&lt;/Keywords&gt;&lt;Keywords&gt;Mothers&lt;/Keywords&gt;&lt;Keywords&gt;Pamphlets&lt;/Keywords&gt;&lt;Keywords&gt;prevention &amp;amp; control&lt;/Keywords&gt;&lt;Keywords&gt;Questionnaires&lt;/Keywords&gt;&lt;Keywords&gt;Text Messaging&lt;/Keywords&gt;&lt;Keywords&gt;Urban Population&lt;/Keywords&gt;&lt;Reprint&gt;Not in File&lt;/Reprint&gt;&lt;Start_Page&gt;432&lt;/Start_Page&gt;&lt;End_Page&gt;436&lt;/End_Page&gt;&lt;Periodical&gt;J.Telemed.Telecare.&lt;/Periodical&gt;&lt;Volume&gt;17&lt;/Volume&gt;&lt;Issue&gt;8&lt;/Issue&gt;&lt;Address&gt;KLE VK Institute of Dental Sciences, KLE University, Belgaum, India. ratika2808@gmail.com&lt;/Address&gt;&lt;Web_URL&gt;PM:22025742&lt;/Web_URL&gt;&lt;ZZ_JournalStdAbbrev&gt;&lt;f name="System"&gt;J.Telemed.Telecare.&lt;/f&gt;&lt;/ZZ_JournalStdAbbrev&gt;&lt;ZZ_WorkformID&gt;1&lt;/ZZ_WorkformID&gt;&lt;/MDL&gt;&lt;/Cite&gt;&lt;/Refman&gt;</w:instrText>
      </w:r>
      <w:r w:rsidR="009B5648">
        <w:fldChar w:fldCharType="separate"/>
      </w:r>
      <w:r>
        <w:t>[24]</w:t>
      </w:r>
      <w:r w:rsidR="009B5648">
        <w:fldChar w:fldCharType="end"/>
      </w:r>
      <w:r w:rsidRPr="00DA4F2D">
        <w:t xml:space="preserve"> is included in this category. The study was implemented in an urban setting in India. Study participants were the mothers of young children attending a pre-school.</w:t>
      </w:r>
    </w:p>
    <w:p w:rsidR="00BA6265" w:rsidRDefault="00BA6265">
      <w:pPr>
        <w:rPr>
          <w:b/>
        </w:rPr>
      </w:pPr>
      <w:r>
        <w:rPr>
          <w:b/>
        </w:rPr>
        <w:br w:type="page"/>
      </w:r>
    </w:p>
    <w:p w:rsidR="00BA6265" w:rsidRDefault="00BA6265" w:rsidP="00660039">
      <w:pPr>
        <w:rPr>
          <w:b/>
        </w:rPr>
      </w:pPr>
    </w:p>
    <w:p w:rsidR="00BA6265" w:rsidRDefault="00BA6265" w:rsidP="00660039">
      <w:r w:rsidRPr="00C96163">
        <w:rPr>
          <w:rStyle w:val="Heading7Char"/>
        </w:rPr>
        <w:t xml:space="preserve">Table </w:t>
      </w:r>
      <w:r w:rsidR="009B5648" w:rsidRPr="00C96163">
        <w:rPr>
          <w:rStyle w:val="Heading7Char"/>
        </w:rPr>
        <w:fldChar w:fldCharType="begin"/>
      </w:r>
      <w:r w:rsidRPr="00C96163">
        <w:rPr>
          <w:rStyle w:val="Heading7Char"/>
        </w:rPr>
        <w:instrText xml:space="preserve"> SEQ Table \* ARABIC </w:instrText>
      </w:r>
      <w:r w:rsidR="009B5648" w:rsidRPr="00C96163">
        <w:rPr>
          <w:rStyle w:val="Heading7Char"/>
        </w:rPr>
        <w:fldChar w:fldCharType="separate"/>
      </w:r>
      <w:r w:rsidR="00653C68" w:rsidRPr="00C96163">
        <w:rPr>
          <w:rStyle w:val="Heading7Char"/>
        </w:rPr>
        <w:t>2</w:t>
      </w:r>
      <w:r w:rsidR="009B5648" w:rsidRPr="00C96163">
        <w:rPr>
          <w:rStyle w:val="Heading7Char"/>
        </w:rPr>
        <w:fldChar w:fldCharType="end"/>
      </w:r>
      <w:r w:rsidRPr="00C96163">
        <w:rPr>
          <w:rStyle w:val="Heading7Char"/>
        </w:rPr>
        <w:t xml:space="preserve">: </w:t>
      </w:r>
      <w:r w:rsidRPr="00DA4F2D">
        <w:t xml:space="preserve">Mobile-phone text messaging - oral health education </w:t>
      </w:r>
    </w:p>
    <w:p w:rsidR="00BA6265" w:rsidRPr="00DA4F2D" w:rsidRDefault="00BA6265" w:rsidP="006600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008"/>
        <w:gridCol w:w="1203"/>
        <w:gridCol w:w="1092"/>
        <w:gridCol w:w="5344"/>
      </w:tblGrid>
      <w:tr w:rsidR="00BA6265" w:rsidRPr="00721892" w:rsidTr="0034395B">
        <w:tc>
          <w:tcPr>
            <w:tcW w:w="1242" w:type="dxa"/>
            <w:vMerge w:val="restart"/>
            <w:vAlign w:val="center"/>
          </w:tcPr>
          <w:p w:rsidR="00BA6265" w:rsidRPr="00721892" w:rsidRDefault="00BA6265" w:rsidP="00721892">
            <w:pPr>
              <w:keepNext/>
            </w:pPr>
          </w:p>
        </w:tc>
        <w:tc>
          <w:tcPr>
            <w:tcW w:w="3303" w:type="dxa"/>
            <w:gridSpan w:val="3"/>
            <w:vAlign w:val="center"/>
          </w:tcPr>
          <w:p w:rsidR="00BA6265" w:rsidRPr="0034395B" w:rsidRDefault="00BA6265" w:rsidP="00721892">
            <w:pPr>
              <w:keepNext/>
              <w:rPr>
                <w:b/>
              </w:rPr>
            </w:pPr>
            <w:r w:rsidRPr="0034395B">
              <w:rPr>
                <w:b/>
              </w:rPr>
              <w:t>Study ROB</w:t>
            </w:r>
            <w:r w:rsidRPr="0034395B">
              <w:rPr>
                <w:b/>
                <w:vertAlign w:val="superscript"/>
              </w:rPr>
              <w:t>1</w:t>
            </w:r>
            <w:r w:rsidRPr="0034395B">
              <w:rPr>
                <w:b/>
              </w:rPr>
              <w:t xml:space="preserve"> Rating</w:t>
            </w:r>
          </w:p>
        </w:tc>
        <w:tc>
          <w:tcPr>
            <w:tcW w:w="5344" w:type="dxa"/>
            <w:vMerge w:val="restart"/>
            <w:vAlign w:val="center"/>
          </w:tcPr>
          <w:p w:rsidR="00BA6265" w:rsidRPr="0034395B" w:rsidRDefault="00BA6265" w:rsidP="00721892">
            <w:pPr>
              <w:keepNext/>
              <w:rPr>
                <w:b/>
              </w:rPr>
            </w:pPr>
            <w:r w:rsidRPr="0034395B">
              <w:rPr>
                <w:b/>
              </w:rPr>
              <w:t>Findings</w:t>
            </w:r>
          </w:p>
        </w:tc>
      </w:tr>
      <w:tr w:rsidR="00BA6265" w:rsidRPr="00721892" w:rsidTr="0034395B">
        <w:tc>
          <w:tcPr>
            <w:tcW w:w="1242" w:type="dxa"/>
            <w:vMerge/>
            <w:vAlign w:val="center"/>
          </w:tcPr>
          <w:p w:rsidR="00BA6265" w:rsidRPr="00721892" w:rsidRDefault="00BA6265" w:rsidP="00721892">
            <w:pPr>
              <w:keepNext/>
            </w:pPr>
          </w:p>
        </w:tc>
        <w:tc>
          <w:tcPr>
            <w:tcW w:w="1008" w:type="dxa"/>
            <w:vAlign w:val="center"/>
          </w:tcPr>
          <w:p w:rsidR="00BA6265" w:rsidRPr="0034395B" w:rsidRDefault="00BA6265" w:rsidP="00721892">
            <w:pPr>
              <w:keepNext/>
              <w:rPr>
                <w:b/>
                <w:vertAlign w:val="superscript"/>
              </w:rPr>
            </w:pPr>
            <w:r w:rsidRPr="0034395B">
              <w:rPr>
                <w:b/>
              </w:rPr>
              <w:t>Low</w:t>
            </w:r>
            <w:r w:rsidRPr="0034395B">
              <w:rPr>
                <w:b/>
                <w:vertAlign w:val="superscript"/>
              </w:rPr>
              <w:t>2</w:t>
            </w:r>
          </w:p>
        </w:tc>
        <w:tc>
          <w:tcPr>
            <w:tcW w:w="1203" w:type="dxa"/>
            <w:vAlign w:val="center"/>
          </w:tcPr>
          <w:p w:rsidR="00BA6265" w:rsidRPr="0034395B" w:rsidRDefault="00BA6265" w:rsidP="00721892">
            <w:pPr>
              <w:keepNext/>
              <w:rPr>
                <w:b/>
                <w:vertAlign w:val="superscript"/>
              </w:rPr>
            </w:pPr>
            <w:r w:rsidRPr="0034395B">
              <w:rPr>
                <w:b/>
              </w:rPr>
              <w:t>Medium</w:t>
            </w:r>
            <w:r w:rsidRPr="0034395B">
              <w:rPr>
                <w:b/>
                <w:vertAlign w:val="superscript"/>
              </w:rPr>
              <w:t xml:space="preserve"> 3</w:t>
            </w:r>
          </w:p>
        </w:tc>
        <w:tc>
          <w:tcPr>
            <w:tcW w:w="1092" w:type="dxa"/>
            <w:vAlign w:val="center"/>
          </w:tcPr>
          <w:p w:rsidR="00BA6265" w:rsidRPr="0034395B" w:rsidRDefault="00BA6265" w:rsidP="00721892">
            <w:pPr>
              <w:keepNext/>
              <w:rPr>
                <w:b/>
                <w:vertAlign w:val="superscript"/>
              </w:rPr>
            </w:pPr>
            <w:r w:rsidRPr="0034395B">
              <w:rPr>
                <w:b/>
              </w:rPr>
              <w:t>High</w:t>
            </w:r>
            <w:r w:rsidRPr="0034395B">
              <w:rPr>
                <w:b/>
                <w:vertAlign w:val="superscript"/>
              </w:rPr>
              <w:t>4</w:t>
            </w:r>
          </w:p>
        </w:tc>
        <w:tc>
          <w:tcPr>
            <w:tcW w:w="5344" w:type="dxa"/>
            <w:vMerge/>
            <w:vAlign w:val="center"/>
          </w:tcPr>
          <w:p w:rsidR="00BA6265" w:rsidRPr="00721892" w:rsidRDefault="00BA6265" w:rsidP="00721892">
            <w:pPr>
              <w:keepNext/>
            </w:pPr>
          </w:p>
        </w:tc>
      </w:tr>
      <w:tr w:rsidR="00BA6265" w:rsidRPr="00721892" w:rsidTr="0034395B">
        <w:trPr>
          <w:trHeight w:val="339"/>
        </w:trPr>
        <w:tc>
          <w:tcPr>
            <w:tcW w:w="1242" w:type="dxa"/>
            <w:vAlign w:val="center"/>
          </w:tcPr>
          <w:p w:rsidR="00BA6265" w:rsidRPr="005F703E" w:rsidRDefault="00BA6265" w:rsidP="00D775BD">
            <w:pPr>
              <w:keepNext/>
              <w:rPr>
                <w:sz w:val="20"/>
                <w:szCs w:val="20"/>
              </w:rPr>
            </w:pPr>
            <w:r w:rsidRPr="005F703E">
              <w:rPr>
                <w:sz w:val="20"/>
                <w:szCs w:val="20"/>
              </w:rPr>
              <w:t>Study</w:t>
            </w:r>
            <w:r>
              <w:rPr>
                <w:sz w:val="20"/>
                <w:szCs w:val="20"/>
              </w:rPr>
              <w:t>[18]</w:t>
            </w:r>
          </w:p>
        </w:tc>
        <w:tc>
          <w:tcPr>
            <w:tcW w:w="1008" w:type="dxa"/>
            <w:vAlign w:val="center"/>
          </w:tcPr>
          <w:p w:rsidR="00BA6265" w:rsidRPr="005F703E" w:rsidRDefault="00BA6265" w:rsidP="00721892">
            <w:pPr>
              <w:keepNext/>
              <w:rPr>
                <w:sz w:val="20"/>
                <w:szCs w:val="20"/>
              </w:rPr>
            </w:pPr>
          </w:p>
        </w:tc>
        <w:tc>
          <w:tcPr>
            <w:tcW w:w="1203" w:type="dxa"/>
            <w:vAlign w:val="center"/>
          </w:tcPr>
          <w:p w:rsidR="00BA6265" w:rsidRPr="005F703E" w:rsidRDefault="00BA6265" w:rsidP="00721892">
            <w:pPr>
              <w:keepNext/>
              <w:rPr>
                <w:sz w:val="20"/>
                <w:szCs w:val="20"/>
              </w:rPr>
            </w:pPr>
            <w:r w:rsidRPr="005F703E">
              <w:rPr>
                <w:sz w:val="20"/>
                <w:szCs w:val="20"/>
              </w:rPr>
              <w:t>1</w:t>
            </w:r>
          </w:p>
        </w:tc>
        <w:tc>
          <w:tcPr>
            <w:tcW w:w="1092" w:type="dxa"/>
            <w:vAlign w:val="center"/>
          </w:tcPr>
          <w:p w:rsidR="00BA6265" w:rsidRPr="005F703E" w:rsidRDefault="00BA6265" w:rsidP="00721892">
            <w:pPr>
              <w:keepNext/>
              <w:rPr>
                <w:sz w:val="20"/>
                <w:szCs w:val="20"/>
              </w:rPr>
            </w:pPr>
          </w:p>
        </w:tc>
        <w:tc>
          <w:tcPr>
            <w:tcW w:w="5344" w:type="dxa"/>
            <w:vMerge w:val="restart"/>
            <w:vAlign w:val="center"/>
          </w:tcPr>
          <w:p w:rsidR="00BA6265" w:rsidRPr="005F703E" w:rsidRDefault="00BA6265" w:rsidP="00721892">
            <w:pPr>
              <w:keepNext/>
              <w:rPr>
                <w:sz w:val="20"/>
                <w:szCs w:val="20"/>
              </w:rPr>
            </w:pPr>
            <w:r w:rsidRPr="005F703E">
              <w:rPr>
                <w:sz w:val="20"/>
                <w:szCs w:val="20"/>
              </w:rPr>
              <w:t>This study met 3 out of 8 criteria. No clear evidence of benefit due to methodological concerns. It is reported that both SMS messages and the provision of pamphlets showed benefit in reducing the Visible Plaque Index on children’s teeth. Significant improvements in mothers’ knowledge (</w:t>
            </w:r>
            <w:r w:rsidRPr="005F703E">
              <w:rPr>
                <w:i/>
                <w:sz w:val="20"/>
                <w:szCs w:val="20"/>
              </w:rPr>
              <w:t>p</w:t>
            </w:r>
            <w:r w:rsidRPr="005F703E">
              <w:rPr>
                <w:sz w:val="20"/>
                <w:szCs w:val="20"/>
              </w:rPr>
              <w:t xml:space="preserve"> 0.001), attitudes (</w:t>
            </w:r>
            <w:r w:rsidRPr="005F703E">
              <w:rPr>
                <w:i/>
                <w:sz w:val="20"/>
                <w:szCs w:val="20"/>
              </w:rPr>
              <w:t>p</w:t>
            </w:r>
            <w:r w:rsidRPr="005F703E">
              <w:rPr>
                <w:sz w:val="20"/>
                <w:szCs w:val="20"/>
              </w:rPr>
              <w:t xml:space="preserve"> 0.001) and practices (</w:t>
            </w:r>
            <w:r w:rsidRPr="005F703E">
              <w:rPr>
                <w:i/>
                <w:sz w:val="20"/>
                <w:szCs w:val="20"/>
              </w:rPr>
              <w:t xml:space="preserve">p </w:t>
            </w:r>
            <w:r w:rsidRPr="005F703E">
              <w:rPr>
                <w:sz w:val="20"/>
                <w:szCs w:val="20"/>
              </w:rPr>
              <w:t>0.001) are reported in both groups.</w:t>
            </w:r>
          </w:p>
          <w:p w:rsidR="00BA6265" w:rsidRPr="00721892" w:rsidRDefault="00BA6265" w:rsidP="00721892">
            <w:pPr>
              <w:keepNext/>
            </w:pPr>
          </w:p>
        </w:tc>
      </w:tr>
      <w:tr w:rsidR="00BA6265" w:rsidRPr="00721892" w:rsidTr="0034395B">
        <w:trPr>
          <w:trHeight w:val="339"/>
        </w:trPr>
        <w:tc>
          <w:tcPr>
            <w:tcW w:w="4545" w:type="dxa"/>
            <w:gridSpan w:val="4"/>
            <w:vAlign w:val="center"/>
          </w:tcPr>
          <w:p w:rsidR="00BA6265" w:rsidRPr="005F703E" w:rsidRDefault="00BA6265" w:rsidP="00721892">
            <w:pPr>
              <w:keepNext/>
              <w:rPr>
                <w:i/>
                <w:sz w:val="20"/>
                <w:szCs w:val="20"/>
              </w:rPr>
            </w:pPr>
            <w:r w:rsidRPr="005F703E">
              <w:rPr>
                <w:i/>
                <w:sz w:val="20"/>
                <w:szCs w:val="20"/>
              </w:rPr>
              <w:t>Study Quality Score</w:t>
            </w:r>
          </w:p>
        </w:tc>
        <w:tc>
          <w:tcPr>
            <w:tcW w:w="5344" w:type="dxa"/>
            <w:vMerge/>
            <w:vAlign w:val="center"/>
          </w:tcPr>
          <w:p w:rsidR="00BA6265" w:rsidRPr="00721892" w:rsidRDefault="00BA6265" w:rsidP="00721892">
            <w:pPr>
              <w:keepNext/>
            </w:pPr>
          </w:p>
        </w:tc>
      </w:tr>
      <w:tr w:rsidR="00BA6265" w:rsidRPr="00721892" w:rsidTr="0034395B">
        <w:trPr>
          <w:trHeight w:val="450"/>
        </w:trPr>
        <w:tc>
          <w:tcPr>
            <w:tcW w:w="3453" w:type="dxa"/>
            <w:gridSpan w:val="3"/>
            <w:vAlign w:val="center"/>
          </w:tcPr>
          <w:p w:rsidR="00BA6265" w:rsidRPr="005F703E" w:rsidRDefault="00BA6265" w:rsidP="0034395B">
            <w:pPr>
              <w:keepNext/>
              <w:rPr>
                <w:sz w:val="20"/>
                <w:szCs w:val="20"/>
              </w:rPr>
            </w:pPr>
            <w:r w:rsidRPr="005F703E">
              <w:rPr>
                <w:sz w:val="20"/>
                <w:szCs w:val="20"/>
              </w:rPr>
              <w:t xml:space="preserve">randomisation </w:t>
            </w:r>
          </w:p>
        </w:tc>
        <w:tc>
          <w:tcPr>
            <w:tcW w:w="1092" w:type="dxa"/>
            <w:vAlign w:val="center"/>
          </w:tcPr>
          <w:p w:rsidR="00BA6265" w:rsidRPr="005F703E" w:rsidRDefault="00BA6265" w:rsidP="00721892">
            <w:pPr>
              <w:keepNext/>
              <w:rPr>
                <w:sz w:val="20"/>
                <w:szCs w:val="20"/>
              </w:rPr>
            </w:pPr>
            <w:r w:rsidRPr="005F703E">
              <w:rPr>
                <w:sz w:val="20"/>
                <w:szCs w:val="20"/>
              </w:rPr>
              <w:t>yes</w:t>
            </w:r>
          </w:p>
        </w:tc>
        <w:tc>
          <w:tcPr>
            <w:tcW w:w="5344" w:type="dxa"/>
            <w:vMerge/>
            <w:vAlign w:val="center"/>
          </w:tcPr>
          <w:p w:rsidR="00BA6265" w:rsidRPr="00721892" w:rsidRDefault="00BA6265" w:rsidP="00721892">
            <w:pPr>
              <w:keepNext/>
            </w:pPr>
          </w:p>
        </w:tc>
      </w:tr>
      <w:tr w:rsidR="00BA6265" w:rsidRPr="00721892" w:rsidTr="0034395B">
        <w:trPr>
          <w:trHeight w:val="450"/>
        </w:trPr>
        <w:tc>
          <w:tcPr>
            <w:tcW w:w="3453" w:type="dxa"/>
            <w:gridSpan w:val="3"/>
            <w:vAlign w:val="center"/>
          </w:tcPr>
          <w:p w:rsidR="00BA6265" w:rsidRPr="005F703E" w:rsidRDefault="00BA6265" w:rsidP="0034395B">
            <w:pPr>
              <w:keepNext/>
              <w:rPr>
                <w:sz w:val="20"/>
                <w:szCs w:val="20"/>
              </w:rPr>
            </w:pPr>
            <w:r w:rsidRPr="005F703E">
              <w:rPr>
                <w:sz w:val="20"/>
                <w:szCs w:val="20"/>
              </w:rPr>
              <w:t xml:space="preserve">concealment of allocation </w:t>
            </w:r>
          </w:p>
        </w:tc>
        <w:tc>
          <w:tcPr>
            <w:tcW w:w="1092" w:type="dxa"/>
            <w:vAlign w:val="center"/>
          </w:tcPr>
          <w:p w:rsidR="00BA6265" w:rsidRPr="005F703E" w:rsidRDefault="00BA6265" w:rsidP="00721892">
            <w:pPr>
              <w:keepNext/>
              <w:rPr>
                <w:sz w:val="20"/>
                <w:szCs w:val="20"/>
              </w:rPr>
            </w:pPr>
            <w:r w:rsidRPr="005F703E">
              <w:rPr>
                <w:sz w:val="20"/>
                <w:szCs w:val="20"/>
              </w:rPr>
              <w:t>unclear</w:t>
            </w:r>
          </w:p>
        </w:tc>
        <w:tc>
          <w:tcPr>
            <w:tcW w:w="5344" w:type="dxa"/>
            <w:vMerge/>
            <w:vAlign w:val="center"/>
          </w:tcPr>
          <w:p w:rsidR="00BA6265" w:rsidRPr="00721892" w:rsidRDefault="00BA6265" w:rsidP="00721892">
            <w:pPr>
              <w:keepNext/>
            </w:pPr>
          </w:p>
        </w:tc>
      </w:tr>
      <w:tr w:rsidR="00BA6265" w:rsidRPr="00721892" w:rsidTr="0034395B">
        <w:trPr>
          <w:trHeight w:val="450"/>
        </w:trPr>
        <w:tc>
          <w:tcPr>
            <w:tcW w:w="3453" w:type="dxa"/>
            <w:gridSpan w:val="3"/>
            <w:vAlign w:val="center"/>
          </w:tcPr>
          <w:p w:rsidR="00BA6265" w:rsidRPr="005F703E" w:rsidRDefault="00BA6265" w:rsidP="0034395B">
            <w:pPr>
              <w:keepNext/>
              <w:rPr>
                <w:sz w:val="20"/>
                <w:szCs w:val="20"/>
              </w:rPr>
            </w:pPr>
            <w:r w:rsidRPr="005F703E">
              <w:rPr>
                <w:sz w:val="20"/>
                <w:szCs w:val="20"/>
              </w:rPr>
              <w:t>used appropriate controls</w:t>
            </w:r>
          </w:p>
        </w:tc>
        <w:tc>
          <w:tcPr>
            <w:tcW w:w="1092" w:type="dxa"/>
            <w:vAlign w:val="center"/>
          </w:tcPr>
          <w:p w:rsidR="00BA6265" w:rsidRPr="005F703E" w:rsidRDefault="00BA6265" w:rsidP="00721892">
            <w:pPr>
              <w:keepNext/>
              <w:rPr>
                <w:sz w:val="20"/>
                <w:szCs w:val="20"/>
              </w:rPr>
            </w:pPr>
            <w:r w:rsidRPr="005F703E">
              <w:rPr>
                <w:sz w:val="20"/>
                <w:szCs w:val="20"/>
              </w:rPr>
              <w:t>no</w:t>
            </w:r>
          </w:p>
        </w:tc>
        <w:tc>
          <w:tcPr>
            <w:tcW w:w="5344" w:type="dxa"/>
            <w:vMerge/>
            <w:vAlign w:val="center"/>
          </w:tcPr>
          <w:p w:rsidR="00BA6265" w:rsidRPr="00721892" w:rsidRDefault="00BA6265" w:rsidP="00721892">
            <w:pPr>
              <w:keepNext/>
            </w:pPr>
          </w:p>
        </w:tc>
      </w:tr>
      <w:tr w:rsidR="00BA6265" w:rsidRPr="00721892" w:rsidTr="0034395B">
        <w:trPr>
          <w:trHeight w:val="450"/>
        </w:trPr>
        <w:tc>
          <w:tcPr>
            <w:tcW w:w="3453" w:type="dxa"/>
            <w:gridSpan w:val="3"/>
            <w:vAlign w:val="center"/>
          </w:tcPr>
          <w:p w:rsidR="00BA6265" w:rsidRPr="005F703E" w:rsidRDefault="00BA6265" w:rsidP="0034395B">
            <w:pPr>
              <w:keepNext/>
              <w:rPr>
                <w:sz w:val="20"/>
                <w:szCs w:val="20"/>
              </w:rPr>
            </w:pPr>
            <w:r w:rsidRPr="005F703E">
              <w:rPr>
                <w:sz w:val="20"/>
                <w:szCs w:val="20"/>
              </w:rPr>
              <w:t>analysis by intention to treat</w:t>
            </w:r>
          </w:p>
        </w:tc>
        <w:tc>
          <w:tcPr>
            <w:tcW w:w="1092" w:type="dxa"/>
            <w:vAlign w:val="center"/>
          </w:tcPr>
          <w:p w:rsidR="00BA6265" w:rsidRPr="005F703E" w:rsidRDefault="00BA6265" w:rsidP="00721892">
            <w:pPr>
              <w:keepNext/>
              <w:rPr>
                <w:sz w:val="20"/>
                <w:szCs w:val="20"/>
              </w:rPr>
            </w:pPr>
            <w:r w:rsidRPr="005F703E">
              <w:rPr>
                <w:sz w:val="20"/>
                <w:szCs w:val="20"/>
              </w:rPr>
              <w:t>no</w:t>
            </w:r>
          </w:p>
        </w:tc>
        <w:tc>
          <w:tcPr>
            <w:tcW w:w="5344" w:type="dxa"/>
            <w:vMerge/>
            <w:vAlign w:val="center"/>
          </w:tcPr>
          <w:p w:rsidR="00BA6265" w:rsidRPr="00721892" w:rsidRDefault="00BA6265" w:rsidP="00721892">
            <w:pPr>
              <w:keepNext/>
            </w:pPr>
          </w:p>
        </w:tc>
      </w:tr>
      <w:tr w:rsidR="00BA6265" w:rsidRPr="00721892" w:rsidTr="0034395B">
        <w:trPr>
          <w:trHeight w:val="450"/>
        </w:trPr>
        <w:tc>
          <w:tcPr>
            <w:tcW w:w="3453" w:type="dxa"/>
            <w:gridSpan w:val="3"/>
            <w:vAlign w:val="center"/>
          </w:tcPr>
          <w:p w:rsidR="00BA6265" w:rsidRPr="005F703E" w:rsidRDefault="00BA6265" w:rsidP="0034395B">
            <w:pPr>
              <w:keepNext/>
              <w:rPr>
                <w:sz w:val="20"/>
                <w:szCs w:val="20"/>
              </w:rPr>
            </w:pPr>
            <w:r w:rsidRPr="005F703E">
              <w:rPr>
                <w:sz w:val="20"/>
                <w:szCs w:val="20"/>
              </w:rPr>
              <w:t>blinded assessment of primary outcome</w:t>
            </w:r>
          </w:p>
        </w:tc>
        <w:tc>
          <w:tcPr>
            <w:tcW w:w="1092" w:type="dxa"/>
            <w:vAlign w:val="center"/>
          </w:tcPr>
          <w:p w:rsidR="00BA6265" w:rsidRPr="005F703E" w:rsidRDefault="00BA6265" w:rsidP="00721892">
            <w:pPr>
              <w:keepNext/>
              <w:rPr>
                <w:sz w:val="20"/>
                <w:szCs w:val="20"/>
              </w:rPr>
            </w:pPr>
            <w:r w:rsidRPr="005F703E">
              <w:rPr>
                <w:sz w:val="20"/>
                <w:szCs w:val="20"/>
              </w:rPr>
              <w:t>unclear</w:t>
            </w:r>
          </w:p>
        </w:tc>
        <w:tc>
          <w:tcPr>
            <w:tcW w:w="5344" w:type="dxa"/>
            <w:vMerge/>
            <w:vAlign w:val="center"/>
          </w:tcPr>
          <w:p w:rsidR="00BA6265" w:rsidRPr="00721892" w:rsidRDefault="00BA6265" w:rsidP="00721892">
            <w:pPr>
              <w:keepNext/>
            </w:pPr>
          </w:p>
        </w:tc>
      </w:tr>
      <w:tr w:rsidR="00BA6265" w:rsidRPr="00721892" w:rsidTr="0034395B">
        <w:trPr>
          <w:trHeight w:val="450"/>
        </w:trPr>
        <w:tc>
          <w:tcPr>
            <w:tcW w:w="3453" w:type="dxa"/>
            <w:gridSpan w:val="3"/>
            <w:vAlign w:val="center"/>
          </w:tcPr>
          <w:p w:rsidR="00BA6265" w:rsidRPr="005F703E" w:rsidRDefault="00BA6265" w:rsidP="0034395B">
            <w:pPr>
              <w:keepNext/>
              <w:rPr>
                <w:sz w:val="20"/>
                <w:szCs w:val="20"/>
              </w:rPr>
            </w:pPr>
            <w:r w:rsidRPr="005F703E">
              <w:rPr>
                <w:sz w:val="20"/>
                <w:szCs w:val="20"/>
              </w:rPr>
              <w:t>baseline measurement</w:t>
            </w:r>
          </w:p>
        </w:tc>
        <w:tc>
          <w:tcPr>
            <w:tcW w:w="1092" w:type="dxa"/>
            <w:vAlign w:val="center"/>
          </w:tcPr>
          <w:p w:rsidR="00BA6265" w:rsidRPr="005F703E" w:rsidRDefault="00BA6265" w:rsidP="00721892">
            <w:pPr>
              <w:keepNext/>
              <w:rPr>
                <w:sz w:val="20"/>
                <w:szCs w:val="20"/>
              </w:rPr>
            </w:pPr>
            <w:r w:rsidRPr="005F703E">
              <w:rPr>
                <w:sz w:val="20"/>
                <w:szCs w:val="20"/>
              </w:rPr>
              <w:t>yes</w:t>
            </w:r>
          </w:p>
        </w:tc>
        <w:tc>
          <w:tcPr>
            <w:tcW w:w="5344" w:type="dxa"/>
            <w:vMerge/>
            <w:vAlign w:val="center"/>
          </w:tcPr>
          <w:p w:rsidR="00BA6265" w:rsidRPr="00721892" w:rsidRDefault="00BA6265" w:rsidP="00721892">
            <w:pPr>
              <w:keepNext/>
            </w:pPr>
          </w:p>
        </w:tc>
      </w:tr>
      <w:tr w:rsidR="00BA6265" w:rsidRPr="00721892" w:rsidTr="0034395B">
        <w:trPr>
          <w:trHeight w:val="450"/>
        </w:trPr>
        <w:tc>
          <w:tcPr>
            <w:tcW w:w="3453" w:type="dxa"/>
            <w:gridSpan w:val="3"/>
            <w:vAlign w:val="center"/>
          </w:tcPr>
          <w:p w:rsidR="00BA6265" w:rsidRPr="005F703E" w:rsidRDefault="00BA6265" w:rsidP="0034395B">
            <w:pPr>
              <w:keepNext/>
              <w:rPr>
                <w:sz w:val="20"/>
                <w:szCs w:val="20"/>
              </w:rPr>
            </w:pPr>
            <w:r w:rsidRPr="005F703E">
              <w:rPr>
                <w:sz w:val="20"/>
                <w:szCs w:val="20"/>
              </w:rPr>
              <w:t>reliable primary outcome measure</w:t>
            </w:r>
          </w:p>
        </w:tc>
        <w:tc>
          <w:tcPr>
            <w:tcW w:w="1092" w:type="dxa"/>
            <w:vAlign w:val="center"/>
          </w:tcPr>
          <w:p w:rsidR="00BA6265" w:rsidRPr="005F703E" w:rsidRDefault="00BA6265" w:rsidP="00721892">
            <w:pPr>
              <w:keepNext/>
              <w:rPr>
                <w:sz w:val="20"/>
                <w:szCs w:val="20"/>
              </w:rPr>
            </w:pPr>
            <w:r w:rsidRPr="005F703E">
              <w:rPr>
                <w:sz w:val="20"/>
                <w:szCs w:val="20"/>
              </w:rPr>
              <w:t>yes</w:t>
            </w:r>
          </w:p>
        </w:tc>
        <w:tc>
          <w:tcPr>
            <w:tcW w:w="5344" w:type="dxa"/>
            <w:vMerge/>
            <w:vAlign w:val="center"/>
          </w:tcPr>
          <w:p w:rsidR="00BA6265" w:rsidRPr="00721892" w:rsidRDefault="00BA6265" w:rsidP="00721892">
            <w:pPr>
              <w:keepNext/>
            </w:pPr>
          </w:p>
        </w:tc>
      </w:tr>
      <w:tr w:rsidR="00BA6265" w:rsidRPr="00721892" w:rsidTr="0034395B">
        <w:trPr>
          <w:trHeight w:val="450"/>
        </w:trPr>
        <w:tc>
          <w:tcPr>
            <w:tcW w:w="3453" w:type="dxa"/>
            <w:gridSpan w:val="3"/>
            <w:vAlign w:val="center"/>
          </w:tcPr>
          <w:p w:rsidR="00BA6265" w:rsidRPr="005F703E" w:rsidRDefault="00BA6265" w:rsidP="0034395B">
            <w:pPr>
              <w:keepNext/>
              <w:rPr>
                <w:sz w:val="20"/>
                <w:szCs w:val="20"/>
              </w:rPr>
            </w:pPr>
            <w:r w:rsidRPr="005F703E">
              <w:rPr>
                <w:sz w:val="20"/>
                <w:szCs w:val="20"/>
              </w:rPr>
              <w:t>protection against contamination</w:t>
            </w:r>
          </w:p>
        </w:tc>
        <w:tc>
          <w:tcPr>
            <w:tcW w:w="1092" w:type="dxa"/>
            <w:vAlign w:val="center"/>
          </w:tcPr>
          <w:p w:rsidR="00BA6265" w:rsidRPr="005F703E" w:rsidRDefault="00BA6265" w:rsidP="00721892">
            <w:pPr>
              <w:keepNext/>
              <w:rPr>
                <w:sz w:val="20"/>
                <w:szCs w:val="20"/>
              </w:rPr>
            </w:pPr>
            <w:r w:rsidRPr="005F703E">
              <w:rPr>
                <w:sz w:val="20"/>
                <w:szCs w:val="20"/>
              </w:rPr>
              <w:t>unclear</w:t>
            </w:r>
          </w:p>
        </w:tc>
        <w:tc>
          <w:tcPr>
            <w:tcW w:w="5344" w:type="dxa"/>
            <w:vMerge/>
            <w:vAlign w:val="center"/>
          </w:tcPr>
          <w:p w:rsidR="00BA6265" w:rsidRPr="00721892" w:rsidRDefault="00BA6265" w:rsidP="00721892">
            <w:pPr>
              <w:keepNext/>
            </w:pPr>
          </w:p>
        </w:tc>
      </w:tr>
    </w:tbl>
    <w:p w:rsidR="00BA6265" w:rsidRPr="0034395B" w:rsidRDefault="00BA6265" w:rsidP="00721892">
      <w:pPr>
        <w:keepNext/>
        <w:autoSpaceDE w:val="0"/>
        <w:autoSpaceDN w:val="0"/>
        <w:adjustRightInd w:val="0"/>
        <w:rPr>
          <w:sz w:val="22"/>
          <w:szCs w:val="22"/>
        </w:rPr>
      </w:pPr>
      <w:r w:rsidRPr="0034395B">
        <w:rPr>
          <w:sz w:val="22"/>
          <w:szCs w:val="22"/>
          <w:vertAlign w:val="superscript"/>
        </w:rPr>
        <w:t>1</w:t>
      </w:r>
      <w:r w:rsidRPr="0034395B">
        <w:rPr>
          <w:sz w:val="22"/>
          <w:szCs w:val="22"/>
        </w:rPr>
        <w:t xml:space="preserve">Risk of Bias. </w:t>
      </w:r>
      <w:r w:rsidRPr="0034395B">
        <w:rPr>
          <w:sz w:val="22"/>
          <w:szCs w:val="22"/>
          <w:vertAlign w:val="superscript"/>
        </w:rPr>
        <w:t>2</w:t>
      </w:r>
      <w:r w:rsidRPr="0034395B">
        <w:rPr>
          <w:sz w:val="22"/>
          <w:szCs w:val="22"/>
        </w:rPr>
        <w:t xml:space="preserve">Low ROB ≥5/6 criteria. </w:t>
      </w:r>
      <w:r w:rsidRPr="0034395B">
        <w:rPr>
          <w:sz w:val="22"/>
          <w:szCs w:val="22"/>
          <w:vertAlign w:val="superscript"/>
        </w:rPr>
        <w:t>3</w:t>
      </w:r>
      <w:r w:rsidRPr="0034395B">
        <w:rPr>
          <w:sz w:val="22"/>
          <w:szCs w:val="22"/>
        </w:rPr>
        <w:t xml:space="preserve">Medium ROB 3-4/6 criteria. </w:t>
      </w:r>
      <w:r w:rsidRPr="0034395B">
        <w:rPr>
          <w:sz w:val="22"/>
          <w:szCs w:val="22"/>
          <w:vertAlign w:val="superscript"/>
        </w:rPr>
        <w:t>4</w:t>
      </w:r>
      <w:r w:rsidRPr="0034395B">
        <w:rPr>
          <w:sz w:val="22"/>
          <w:szCs w:val="22"/>
        </w:rPr>
        <w:t>High ROB &lt; 3 criteria.</w:t>
      </w:r>
    </w:p>
    <w:p w:rsidR="00BA6265" w:rsidRPr="00DA4F2D" w:rsidRDefault="00BA6265" w:rsidP="00660039"/>
    <w:p w:rsidR="00BA6265" w:rsidRDefault="00BA6265" w:rsidP="00660039">
      <w:r w:rsidRPr="00DA4F2D">
        <w:t xml:space="preserve">This </w:t>
      </w:r>
      <w:r>
        <w:t xml:space="preserve">Indian </w:t>
      </w:r>
      <w:r w:rsidRPr="00DA4F2D">
        <w:t xml:space="preserve">study involved sending 21 </w:t>
      </w:r>
      <w:r>
        <w:t xml:space="preserve">SMS </w:t>
      </w:r>
      <w:r w:rsidRPr="00DA4F2D">
        <w:t xml:space="preserve">messages (three each day for 7 days). </w:t>
      </w:r>
      <w:r>
        <w:t>The i</w:t>
      </w:r>
      <w:r w:rsidRPr="00DA4F2D">
        <w:t xml:space="preserve">ntervention was </w:t>
      </w:r>
      <w:r>
        <w:t>delivered over f</w:t>
      </w:r>
      <w:r w:rsidRPr="00DA4F2D">
        <w:t>our weeks and messages were repeated we</w:t>
      </w:r>
      <w:r>
        <w:t>ekly. A measure of adherence was not provided. The</w:t>
      </w:r>
      <w:r w:rsidRPr="00DA4F2D">
        <w:t xml:space="preserve"> health outcome</w:t>
      </w:r>
      <w:r>
        <w:t>,</w:t>
      </w:r>
      <w:r w:rsidRPr="00DA4F2D">
        <w:t xml:space="preserve"> the Visible Plaque Index (VPI), was</w:t>
      </w:r>
      <w:r>
        <w:t xml:space="preserve"> measured</w:t>
      </w:r>
      <w:r w:rsidRPr="00DA4F2D">
        <w:t>. The length of the messages varied from short, for example - “</w:t>
      </w:r>
      <w:r w:rsidRPr="00DA4F2D">
        <w:rPr>
          <w:i/>
        </w:rPr>
        <w:t>Brush your child’s tongue gently</w:t>
      </w:r>
      <w:r w:rsidRPr="00DA4F2D">
        <w:t xml:space="preserve">” to very long, </w:t>
      </w:r>
      <w:r>
        <w:t>for example -</w:t>
      </w:r>
      <w:r w:rsidRPr="00DA4F2D">
        <w:t xml:space="preserve"> “</w:t>
      </w:r>
      <w:r w:rsidRPr="00DA4F2D">
        <w:rPr>
          <w:i/>
        </w:rPr>
        <w:t>You should consume sweets only at the main meals. Don’t eat sweets between meals. During meals the saliva production is increased neutralizing most of the acids. That’s why a sweet during the meal is less hazardous than one taken between meals</w:t>
      </w:r>
      <w:r w:rsidRPr="00DA4F2D">
        <w:t xml:space="preserve">” (p 433). The authors state that SMS was the preferred communication method because SMS has the advantage of instant transmission, a smaller chance of being lost (compared with postal reminders) and are less intrusive in the daily lives of people compared with telephone calls. Proficiency in English was a prerequisite for inclusion in the study. The main purpose for the researchers providing dental health education to mothers was </w:t>
      </w:r>
      <w:r w:rsidRPr="004E2800">
        <w:t>to influence the child’s carer who exerts the strongest influence on a young child’s life</w:t>
      </w:r>
      <w:r w:rsidRPr="00DA4F2D">
        <w:t xml:space="preserve">. The researchers identified that the reduction in the level of plaque in the children included in the study was small and that the carers </w:t>
      </w:r>
      <w:r w:rsidRPr="004E2800">
        <w:t>need more than just simple information, cajoling or simple encouragement to change their everyday behaviour</w:t>
      </w:r>
      <w:r>
        <w:t>.</w:t>
      </w:r>
      <w:r w:rsidRPr="00DA4F2D">
        <w:t xml:space="preserve"> The researchers reported that </w:t>
      </w:r>
      <w:r>
        <w:t xml:space="preserve">overall </w:t>
      </w:r>
      <w:r w:rsidRPr="00DA4F2D">
        <w:t xml:space="preserve">the </w:t>
      </w:r>
      <w:r>
        <w:t>messages</w:t>
      </w:r>
      <w:r w:rsidRPr="00DA4F2D">
        <w:t xml:space="preserve"> sent were well received by carers. Among the 71 participants in the SMS group, four participants dropped out. Two carers reported they did not receive the messages and two asked for the messages not to be sent because they found them “</w:t>
      </w:r>
      <w:r w:rsidRPr="00DA4F2D">
        <w:rPr>
          <w:i/>
        </w:rPr>
        <w:t>irritating</w:t>
      </w:r>
      <w:r w:rsidRPr="00DA4F2D">
        <w:t>” (p 434). The authors of this study concluded that in their country (India) where literacy levels are not high, SMS is not the best means of communicating with people whose health is most at risk.</w:t>
      </w:r>
    </w:p>
    <w:p w:rsidR="00BA6265" w:rsidRPr="00DA4F2D" w:rsidRDefault="00BA6265" w:rsidP="00660039"/>
    <w:p w:rsidR="00BA6265" w:rsidRPr="00C470A4" w:rsidRDefault="00BA6265" w:rsidP="00C96163">
      <w:pPr>
        <w:pStyle w:val="Heading7"/>
      </w:pPr>
      <w:proofErr w:type="gramStart"/>
      <w:r w:rsidRPr="00C470A4">
        <w:t>Daily SMS reminder to increase adherence to asthma treatment.</w:t>
      </w:r>
      <w:proofErr w:type="gramEnd"/>
    </w:p>
    <w:p w:rsidR="00B25816" w:rsidRDefault="00BA6265" w:rsidP="00B25816">
      <w:pPr>
        <w:spacing w:after="1800"/>
      </w:pPr>
      <w:r w:rsidRPr="00DA4F2D">
        <w:t>One study</w:t>
      </w:r>
      <w:r>
        <w:t xml:space="preserve"> </w:t>
      </w:r>
      <w:r w:rsidR="009B5648">
        <w:fldChar w:fldCharType="begin"/>
      </w:r>
      <w:r>
        <w:instrText xml:space="preserve"> ADDIN REFMGR.CITE &lt;Refman&gt;&lt;Cite&gt;&lt;Author&gt;Strandbygaard&lt;/Author&gt;&lt;Year&gt;2010&lt;/Year&gt;&lt;RecNum&gt;4&lt;/RecNum&gt;&lt;IDText&gt;A daily SMS reminder increases adherence to asthma treatment: a three-month follow-up study&lt;/IDText&gt;&lt;MDL Ref_Type="Journal"&gt;&lt;Ref_Type&gt;Journal&lt;/Ref_Type&gt;&lt;Ref_ID&gt;4&lt;/Ref_ID&gt;&lt;Title_Primary&gt;A daily SMS reminder increases adherence to asthma treatment: a three-month follow-up study&lt;/Title_Primary&gt;&lt;Authors_Primary&gt;Strandbygaard,U.&lt;/Authors_Primary&gt;&lt;Authors_Primary&gt;Thomsen,S.F.&lt;/Authors_Primary&gt;&lt;Authors_Primary&gt;Backer,V.&lt;/Authors_Primary&gt;&lt;Date_Primary&gt;2010/2&lt;/Date_Primary&gt;&lt;Keywords&gt;Adolescent&lt;/Keywords&gt;&lt;Keywords&gt;Adult&lt;/Keywords&gt;&lt;Keywords&gt;Anti-Asthmatic Agents&lt;/Keywords&gt;&lt;Keywords&gt;Asthma&lt;/Keywords&gt;&lt;Keywords&gt;Cellular Phone&lt;/Keywords&gt;&lt;Keywords&gt;drug therapy&lt;/Keywords&gt;&lt;Keywords&gt;Female&lt;/Keywords&gt;&lt;Keywords&gt;Follow-Up Studies&lt;/Keywords&gt;&lt;Keywords&gt;Humans&lt;/Keywords&gt;&lt;Keywords&gt;Male&lt;/Keywords&gt;&lt;Keywords&gt;Medication Adherence&lt;/Keywords&gt;&lt;Keywords&gt;methods&lt;/Keywords&gt;&lt;Keywords&gt;Middle Aged&lt;/Keywords&gt;&lt;Keywords&gt;psychology&lt;/Keywords&gt;&lt;Keywords&gt;Reminder Systems&lt;/Keywords&gt;&lt;Keywords&gt;Respiratory Function Tests&lt;/Keywords&gt;&lt;Keywords&gt;statistics &amp;amp; numerical data&lt;/Keywords&gt;&lt;Keywords&gt;therapeutic use&lt;/Keywords&gt;&lt;Keywords&gt;Treatment Outcome&lt;/Keywords&gt;&lt;Keywords&gt;Young Adult&lt;/Keywords&gt;&lt;Reprint&gt;Not in File&lt;/Reprint&gt;&lt;Start_Page&gt;166&lt;/Start_Page&gt;&lt;End_Page&gt;171&lt;/End_Page&gt;&lt;Periodical&gt;Respir.Med.&lt;/Periodical&gt;&lt;Volume&gt;104&lt;/Volume&gt;&lt;Issue&gt;2&lt;/Issue&gt;&lt;Address&gt;Department of Respiratory Medicine, Bispebjerg Hospital, Copenhagen NV, Denmark&lt;/Address&gt;&lt;Web_URL&gt;PM:19854632&lt;/Web_URL&gt;&lt;ZZ_JournalStdAbbrev&gt;&lt;f name="System"&gt;Respir.Med.&lt;/f&gt;&lt;/ZZ_JournalStdAbbrev&gt;&lt;ZZ_WorkformID&gt;1&lt;/ZZ_WorkformID&gt;&lt;/MDL&gt;&lt;/Cite&gt;&lt;/Refman&gt;</w:instrText>
      </w:r>
      <w:r w:rsidR="009B5648">
        <w:fldChar w:fldCharType="separate"/>
      </w:r>
      <w:r>
        <w:t>[19]</w:t>
      </w:r>
      <w:r w:rsidR="009B5648">
        <w:fldChar w:fldCharType="end"/>
      </w:r>
      <w:r w:rsidRPr="00DA4F2D">
        <w:t xml:space="preserve"> is included in this category. This study was completed in an urban setting in Denmark.</w:t>
      </w:r>
    </w:p>
    <w:p w:rsidR="00BA6265" w:rsidRDefault="00BA6265" w:rsidP="00660039">
      <w:proofErr w:type="gramStart"/>
      <w:r w:rsidRPr="00C96163">
        <w:rPr>
          <w:rStyle w:val="Heading7Char"/>
        </w:rPr>
        <w:lastRenderedPageBreak/>
        <w:t xml:space="preserve">Table </w:t>
      </w:r>
      <w:r w:rsidR="009B5648" w:rsidRPr="00C96163">
        <w:rPr>
          <w:rStyle w:val="Heading7Char"/>
        </w:rPr>
        <w:fldChar w:fldCharType="begin"/>
      </w:r>
      <w:r w:rsidRPr="00C96163">
        <w:rPr>
          <w:rStyle w:val="Heading7Char"/>
        </w:rPr>
        <w:instrText xml:space="preserve"> SEQ Table \* ARABIC </w:instrText>
      </w:r>
      <w:r w:rsidR="009B5648" w:rsidRPr="00C96163">
        <w:rPr>
          <w:rStyle w:val="Heading7Char"/>
        </w:rPr>
        <w:fldChar w:fldCharType="separate"/>
      </w:r>
      <w:r w:rsidR="00653C68" w:rsidRPr="00C96163">
        <w:rPr>
          <w:rStyle w:val="Heading7Char"/>
        </w:rPr>
        <w:t>3</w:t>
      </w:r>
      <w:r w:rsidR="009B5648" w:rsidRPr="00C96163">
        <w:rPr>
          <w:rStyle w:val="Heading7Char"/>
        </w:rPr>
        <w:fldChar w:fldCharType="end"/>
      </w:r>
      <w:r w:rsidRPr="00C96163">
        <w:rPr>
          <w:rStyle w:val="Heading7Char"/>
        </w:rPr>
        <w:t>.</w:t>
      </w:r>
      <w:proofErr w:type="gramEnd"/>
      <w:r w:rsidRPr="00F90352">
        <w:rPr>
          <w:b/>
        </w:rPr>
        <w:t xml:space="preserve"> </w:t>
      </w:r>
      <w:r w:rsidRPr="00F90352">
        <w:t xml:space="preserve">Mobile phone text messaging </w:t>
      </w:r>
      <w:r>
        <w:t>–</w:t>
      </w:r>
      <w:r w:rsidRPr="00F90352">
        <w:t xml:space="preserve"> asthma</w:t>
      </w:r>
    </w:p>
    <w:p w:rsidR="00BA6265" w:rsidRPr="00F90352" w:rsidRDefault="00BA6265" w:rsidP="006600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077"/>
        <w:gridCol w:w="1163"/>
        <w:gridCol w:w="1092"/>
        <w:gridCol w:w="5315"/>
      </w:tblGrid>
      <w:tr w:rsidR="00BA6265" w:rsidRPr="00DA4F2D" w:rsidTr="0034395B">
        <w:tc>
          <w:tcPr>
            <w:tcW w:w="1242" w:type="dxa"/>
            <w:vMerge w:val="restart"/>
            <w:vAlign w:val="center"/>
          </w:tcPr>
          <w:p w:rsidR="00BA6265" w:rsidRPr="00DA4F2D" w:rsidRDefault="00BA6265" w:rsidP="00660039">
            <w:pPr>
              <w:keepNext/>
            </w:pPr>
          </w:p>
        </w:tc>
        <w:tc>
          <w:tcPr>
            <w:tcW w:w="3332" w:type="dxa"/>
            <w:gridSpan w:val="3"/>
            <w:vAlign w:val="center"/>
          </w:tcPr>
          <w:p w:rsidR="00BA6265" w:rsidRPr="0034395B" w:rsidRDefault="00BA6265" w:rsidP="00660039">
            <w:pPr>
              <w:keepNext/>
              <w:rPr>
                <w:b/>
              </w:rPr>
            </w:pPr>
            <w:r w:rsidRPr="0034395B">
              <w:rPr>
                <w:b/>
              </w:rPr>
              <w:t>Study ROB</w:t>
            </w:r>
            <w:r w:rsidRPr="0034395B">
              <w:rPr>
                <w:b/>
                <w:vertAlign w:val="superscript"/>
              </w:rPr>
              <w:t>1</w:t>
            </w:r>
            <w:r w:rsidRPr="0034395B">
              <w:rPr>
                <w:b/>
              </w:rPr>
              <w:t xml:space="preserve"> Rating</w:t>
            </w:r>
          </w:p>
        </w:tc>
        <w:tc>
          <w:tcPr>
            <w:tcW w:w="5315" w:type="dxa"/>
            <w:vMerge w:val="restart"/>
            <w:vAlign w:val="center"/>
          </w:tcPr>
          <w:p w:rsidR="00BA6265" w:rsidRPr="0034395B" w:rsidRDefault="00BA6265" w:rsidP="00660039">
            <w:pPr>
              <w:keepNext/>
              <w:rPr>
                <w:b/>
              </w:rPr>
            </w:pPr>
            <w:r w:rsidRPr="0034395B">
              <w:rPr>
                <w:b/>
              </w:rPr>
              <w:t>Findings</w:t>
            </w:r>
          </w:p>
        </w:tc>
      </w:tr>
      <w:tr w:rsidR="00BA6265" w:rsidRPr="00DA4F2D" w:rsidTr="0034395B">
        <w:trPr>
          <w:trHeight w:val="367"/>
        </w:trPr>
        <w:tc>
          <w:tcPr>
            <w:tcW w:w="1242" w:type="dxa"/>
            <w:vMerge/>
          </w:tcPr>
          <w:p w:rsidR="00BA6265" w:rsidRPr="00DA4F2D" w:rsidRDefault="00BA6265" w:rsidP="00660039">
            <w:pPr>
              <w:keepNext/>
            </w:pPr>
          </w:p>
        </w:tc>
        <w:tc>
          <w:tcPr>
            <w:tcW w:w="1077" w:type="dxa"/>
            <w:vAlign w:val="center"/>
          </w:tcPr>
          <w:p w:rsidR="00BA6265" w:rsidRPr="0034395B" w:rsidRDefault="00BA6265" w:rsidP="00660039">
            <w:pPr>
              <w:keepNext/>
              <w:rPr>
                <w:b/>
                <w:vertAlign w:val="superscript"/>
              </w:rPr>
            </w:pPr>
            <w:r w:rsidRPr="0034395B">
              <w:rPr>
                <w:b/>
              </w:rPr>
              <w:t>Low</w:t>
            </w:r>
            <w:r w:rsidRPr="0034395B">
              <w:rPr>
                <w:b/>
                <w:vertAlign w:val="superscript"/>
              </w:rPr>
              <w:t>2</w:t>
            </w:r>
          </w:p>
        </w:tc>
        <w:tc>
          <w:tcPr>
            <w:tcW w:w="1163" w:type="dxa"/>
            <w:vAlign w:val="center"/>
          </w:tcPr>
          <w:p w:rsidR="00BA6265" w:rsidRPr="0034395B" w:rsidRDefault="00BA6265" w:rsidP="00660039">
            <w:pPr>
              <w:keepNext/>
              <w:rPr>
                <w:b/>
                <w:vertAlign w:val="superscript"/>
              </w:rPr>
            </w:pPr>
            <w:r w:rsidRPr="0034395B">
              <w:rPr>
                <w:b/>
              </w:rPr>
              <w:t>Medium</w:t>
            </w:r>
            <w:r w:rsidRPr="0034395B">
              <w:rPr>
                <w:b/>
                <w:vertAlign w:val="superscript"/>
              </w:rPr>
              <w:t>3</w:t>
            </w:r>
          </w:p>
        </w:tc>
        <w:tc>
          <w:tcPr>
            <w:tcW w:w="1092" w:type="dxa"/>
            <w:vAlign w:val="center"/>
          </w:tcPr>
          <w:p w:rsidR="00BA6265" w:rsidRPr="0034395B" w:rsidRDefault="00BA6265" w:rsidP="00660039">
            <w:pPr>
              <w:keepNext/>
              <w:rPr>
                <w:b/>
                <w:vertAlign w:val="superscript"/>
              </w:rPr>
            </w:pPr>
            <w:r w:rsidRPr="0034395B">
              <w:rPr>
                <w:b/>
              </w:rPr>
              <w:t>High</w:t>
            </w:r>
            <w:r w:rsidRPr="0034395B">
              <w:rPr>
                <w:b/>
                <w:vertAlign w:val="superscript"/>
              </w:rPr>
              <w:t>4</w:t>
            </w:r>
          </w:p>
        </w:tc>
        <w:tc>
          <w:tcPr>
            <w:tcW w:w="5315" w:type="dxa"/>
            <w:vMerge/>
          </w:tcPr>
          <w:p w:rsidR="00BA6265" w:rsidRPr="00DA4F2D" w:rsidRDefault="00BA6265" w:rsidP="00660039">
            <w:pPr>
              <w:keepNext/>
            </w:pPr>
          </w:p>
        </w:tc>
      </w:tr>
      <w:tr w:rsidR="00BA6265" w:rsidRPr="00DA4F2D" w:rsidTr="00B25816">
        <w:trPr>
          <w:trHeight w:val="426"/>
        </w:trPr>
        <w:tc>
          <w:tcPr>
            <w:tcW w:w="1242" w:type="dxa"/>
          </w:tcPr>
          <w:p w:rsidR="00BA6265" w:rsidRPr="005F703E" w:rsidRDefault="00BA6265" w:rsidP="001A701F">
            <w:pPr>
              <w:keepNext/>
              <w:rPr>
                <w:sz w:val="20"/>
                <w:szCs w:val="20"/>
              </w:rPr>
            </w:pPr>
            <w:r w:rsidRPr="005F703E">
              <w:rPr>
                <w:sz w:val="20"/>
                <w:szCs w:val="20"/>
              </w:rPr>
              <w:t>Study</w:t>
            </w:r>
            <w:r w:rsidR="009B5648" w:rsidRPr="005F703E">
              <w:rPr>
                <w:sz w:val="20"/>
                <w:szCs w:val="20"/>
              </w:rPr>
              <w:fldChar w:fldCharType="begin"/>
            </w:r>
            <w:r w:rsidRPr="005F703E">
              <w:rPr>
                <w:sz w:val="20"/>
                <w:szCs w:val="20"/>
              </w:rPr>
              <w:instrText xml:space="preserve"> ADDIN REFMGR.CITE &lt;Refman&gt;&lt;Cite&gt;&lt;Author&gt;Strandbygaard&lt;/Author&gt;&lt;Year&gt;2010&lt;/Year&gt;&lt;RecNum&gt;4&lt;/RecNum&gt;&lt;IDText&gt;A daily SMS reminder increases adherence to asthma treatment: a three-month follow-up study&lt;/IDText&gt;&lt;MDL Ref_Type="Journal"&gt;&lt;Ref_Type&gt;Journal&lt;/Ref_Type&gt;&lt;Ref_ID&gt;4&lt;/Ref_ID&gt;&lt;Title_Primary&gt;A daily SMS reminder increases adherence to asthma treatment: a three-month follow-up study&lt;/Title_Primary&gt;&lt;Authors_Primary&gt;Strandbygaard,U.&lt;/Authors_Primary&gt;&lt;Authors_Primary&gt;Thomsen,S.F.&lt;/Authors_Primary&gt;&lt;Authors_Primary&gt;Backer,V.&lt;/Authors_Primary&gt;&lt;Date_Primary&gt;2010/2&lt;/Date_Primary&gt;&lt;Keywords&gt;Adolescent&lt;/Keywords&gt;&lt;Keywords&gt;Adult&lt;/Keywords&gt;&lt;Keywords&gt;Anti-Asthmatic Agents&lt;/Keywords&gt;&lt;Keywords&gt;Asthma&lt;/Keywords&gt;&lt;Keywords&gt;Cellular Phone&lt;/Keywords&gt;&lt;Keywords&gt;drug therapy&lt;/Keywords&gt;&lt;Keywords&gt;Female&lt;/Keywords&gt;&lt;Keywords&gt;Follow-Up Studies&lt;/Keywords&gt;&lt;Keywords&gt;Humans&lt;/Keywords&gt;&lt;Keywords&gt;Male&lt;/Keywords&gt;&lt;Keywords&gt;Medication Adherence&lt;/Keywords&gt;&lt;Keywords&gt;methods&lt;/Keywords&gt;&lt;Keywords&gt;Middle Aged&lt;/Keywords&gt;&lt;Keywords&gt;psychology&lt;/Keywords&gt;&lt;Keywords&gt;Reminder Systems&lt;/Keywords&gt;&lt;Keywords&gt;Respiratory Function Tests&lt;/Keywords&gt;&lt;Keywords&gt;statistics &amp;amp; numerical data&lt;/Keywords&gt;&lt;Keywords&gt;therapeutic use&lt;/Keywords&gt;&lt;Keywords&gt;Treatment Outcome&lt;/Keywords&gt;&lt;Keywords&gt;Young Adult&lt;/Keywords&gt;&lt;Reprint&gt;Not in File&lt;/Reprint&gt;&lt;Start_Page&gt;166&lt;/Start_Page&gt;&lt;End_Page&gt;171&lt;/End_Page&gt;&lt;Periodical&gt;Respir.Med.&lt;/Periodical&gt;&lt;Volume&gt;104&lt;/Volume&gt;&lt;Issue&gt;2&lt;/Issue&gt;&lt;Address&gt;Department of Respiratory Medicine, Bispebjerg Hospital, Copenhagen NV, Denmark&lt;/Address&gt;&lt;Web_URL&gt;PM:19854632&lt;/Web_URL&gt;&lt;ZZ_JournalStdAbbrev&gt;&lt;f name="System"&gt;Respir.Med.&lt;/f&gt;&lt;/ZZ_JournalStdAbbrev&gt;&lt;ZZ_WorkformID&gt;1&lt;/ZZ_WorkformID&gt;&lt;/MDL&gt;&lt;/Cite&gt;&lt;/Refman&gt;</w:instrText>
            </w:r>
            <w:r w:rsidR="009B5648" w:rsidRPr="005F703E">
              <w:rPr>
                <w:sz w:val="20"/>
                <w:szCs w:val="20"/>
              </w:rPr>
              <w:fldChar w:fldCharType="separate"/>
            </w:r>
            <w:r w:rsidRPr="005F703E">
              <w:rPr>
                <w:sz w:val="20"/>
                <w:szCs w:val="20"/>
              </w:rPr>
              <w:t>[</w:t>
            </w:r>
            <w:r>
              <w:rPr>
                <w:sz w:val="20"/>
                <w:szCs w:val="20"/>
              </w:rPr>
              <w:t>19</w:t>
            </w:r>
            <w:r w:rsidRPr="005F703E">
              <w:rPr>
                <w:sz w:val="20"/>
                <w:szCs w:val="20"/>
              </w:rPr>
              <w:t>]</w:t>
            </w:r>
            <w:r w:rsidR="009B5648" w:rsidRPr="005F703E">
              <w:rPr>
                <w:sz w:val="20"/>
                <w:szCs w:val="20"/>
              </w:rPr>
              <w:fldChar w:fldCharType="end"/>
            </w:r>
          </w:p>
        </w:tc>
        <w:tc>
          <w:tcPr>
            <w:tcW w:w="1077" w:type="dxa"/>
          </w:tcPr>
          <w:p w:rsidR="00BA6265" w:rsidRPr="005F703E" w:rsidRDefault="00BA6265" w:rsidP="00660039">
            <w:pPr>
              <w:keepNext/>
              <w:rPr>
                <w:sz w:val="20"/>
                <w:szCs w:val="20"/>
              </w:rPr>
            </w:pPr>
          </w:p>
        </w:tc>
        <w:tc>
          <w:tcPr>
            <w:tcW w:w="1163" w:type="dxa"/>
          </w:tcPr>
          <w:p w:rsidR="00BA6265" w:rsidRPr="005F703E" w:rsidRDefault="00BA6265" w:rsidP="00660039">
            <w:pPr>
              <w:keepNext/>
              <w:rPr>
                <w:sz w:val="20"/>
                <w:szCs w:val="20"/>
              </w:rPr>
            </w:pPr>
            <w:r w:rsidRPr="005F703E">
              <w:rPr>
                <w:sz w:val="20"/>
                <w:szCs w:val="20"/>
              </w:rPr>
              <w:t>1</w:t>
            </w:r>
          </w:p>
        </w:tc>
        <w:tc>
          <w:tcPr>
            <w:tcW w:w="1092" w:type="dxa"/>
          </w:tcPr>
          <w:p w:rsidR="00BA6265" w:rsidRPr="005F703E" w:rsidRDefault="00BA6265" w:rsidP="00660039">
            <w:pPr>
              <w:keepNext/>
              <w:rPr>
                <w:sz w:val="20"/>
                <w:szCs w:val="20"/>
              </w:rPr>
            </w:pPr>
          </w:p>
        </w:tc>
        <w:tc>
          <w:tcPr>
            <w:tcW w:w="5315" w:type="dxa"/>
            <w:vMerge w:val="restart"/>
            <w:vAlign w:val="center"/>
          </w:tcPr>
          <w:p w:rsidR="00BA6265" w:rsidRPr="005F703E" w:rsidRDefault="00BA6265" w:rsidP="00B25816">
            <w:pPr>
              <w:keepNext/>
              <w:rPr>
                <w:sz w:val="20"/>
                <w:szCs w:val="20"/>
              </w:rPr>
            </w:pPr>
            <w:r w:rsidRPr="005F703E">
              <w:rPr>
                <w:sz w:val="20"/>
                <w:szCs w:val="20"/>
              </w:rPr>
              <w:t>This study met 3 out of 8 criteria. Some evidence of benefit was shown with methodological concerns. However, the number of study participants at commencement was small (n=26) and not all participants completed the study (n=22). Analysis was not by intention-to-treat.</w:t>
            </w:r>
          </w:p>
        </w:tc>
      </w:tr>
      <w:tr w:rsidR="00BA6265" w:rsidRPr="00DA4F2D" w:rsidTr="0034395B">
        <w:trPr>
          <w:trHeight w:val="339"/>
        </w:trPr>
        <w:tc>
          <w:tcPr>
            <w:tcW w:w="4574" w:type="dxa"/>
            <w:gridSpan w:val="4"/>
          </w:tcPr>
          <w:p w:rsidR="00BA6265" w:rsidRPr="005F703E" w:rsidRDefault="00BA6265" w:rsidP="00660039">
            <w:pPr>
              <w:keepNext/>
              <w:rPr>
                <w:i/>
                <w:sz w:val="20"/>
                <w:szCs w:val="20"/>
              </w:rPr>
            </w:pPr>
            <w:r w:rsidRPr="005F703E">
              <w:rPr>
                <w:i/>
                <w:sz w:val="20"/>
                <w:szCs w:val="20"/>
              </w:rPr>
              <w:t>Study Quality Score</w:t>
            </w:r>
          </w:p>
        </w:tc>
        <w:tc>
          <w:tcPr>
            <w:tcW w:w="5315" w:type="dxa"/>
            <w:vMerge/>
          </w:tcPr>
          <w:p w:rsidR="00BA6265" w:rsidRPr="00DA4F2D" w:rsidRDefault="00BA6265" w:rsidP="00660039">
            <w:pPr>
              <w:keepNext/>
            </w:pPr>
          </w:p>
        </w:tc>
      </w:tr>
      <w:tr w:rsidR="00BA6265" w:rsidRPr="00DA4F2D" w:rsidTr="0034395B">
        <w:trPr>
          <w:trHeight w:val="423"/>
        </w:trPr>
        <w:tc>
          <w:tcPr>
            <w:tcW w:w="3482" w:type="dxa"/>
            <w:gridSpan w:val="3"/>
            <w:vAlign w:val="center"/>
          </w:tcPr>
          <w:p w:rsidR="00BA6265" w:rsidRPr="005F703E" w:rsidRDefault="00BA6265" w:rsidP="0034395B">
            <w:pPr>
              <w:keepNext/>
              <w:rPr>
                <w:sz w:val="20"/>
                <w:szCs w:val="20"/>
              </w:rPr>
            </w:pPr>
            <w:r w:rsidRPr="005F703E">
              <w:rPr>
                <w:sz w:val="20"/>
                <w:szCs w:val="20"/>
              </w:rPr>
              <w:t xml:space="preserve">randomisation </w:t>
            </w:r>
          </w:p>
        </w:tc>
        <w:tc>
          <w:tcPr>
            <w:tcW w:w="1092" w:type="dxa"/>
            <w:vAlign w:val="center"/>
          </w:tcPr>
          <w:p w:rsidR="00BA6265" w:rsidRPr="005F703E" w:rsidRDefault="00BA6265" w:rsidP="00660039">
            <w:pPr>
              <w:keepNext/>
              <w:rPr>
                <w:sz w:val="20"/>
                <w:szCs w:val="20"/>
              </w:rPr>
            </w:pPr>
            <w:r w:rsidRPr="005F703E">
              <w:rPr>
                <w:sz w:val="20"/>
                <w:szCs w:val="20"/>
              </w:rPr>
              <w:t>unclear</w:t>
            </w:r>
          </w:p>
        </w:tc>
        <w:tc>
          <w:tcPr>
            <w:tcW w:w="5315" w:type="dxa"/>
            <w:vMerge/>
          </w:tcPr>
          <w:p w:rsidR="00BA6265" w:rsidRPr="00DA4F2D" w:rsidRDefault="00BA6265" w:rsidP="00660039">
            <w:pPr>
              <w:keepNext/>
            </w:pPr>
          </w:p>
        </w:tc>
      </w:tr>
      <w:tr w:rsidR="00BA6265" w:rsidRPr="00DA4F2D" w:rsidTr="0034395B">
        <w:trPr>
          <w:trHeight w:val="450"/>
        </w:trPr>
        <w:tc>
          <w:tcPr>
            <w:tcW w:w="3482" w:type="dxa"/>
            <w:gridSpan w:val="3"/>
            <w:vAlign w:val="center"/>
          </w:tcPr>
          <w:p w:rsidR="00BA6265" w:rsidRPr="005F703E" w:rsidRDefault="00BA6265" w:rsidP="0034395B">
            <w:pPr>
              <w:keepNext/>
              <w:rPr>
                <w:sz w:val="20"/>
                <w:szCs w:val="20"/>
              </w:rPr>
            </w:pPr>
            <w:r w:rsidRPr="005F703E">
              <w:rPr>
                <w:sz w:val="20"/>
                <w:szCs w:val="20"/>
              </w:rPr>
              <w:t xml:space="preserve">concealment of allocation </w:t>
            </w:r>
          </w:p>
        </w:tc>
        <w:tc>
          <w:tcPr>
            <w:tcW w:w="1092" w:type="dxa"/>
            <w:vAlign w:val="center"/>
          </w:tcPr>
          <w:p w:rsidR="00BA6265" w:rsidRPr="005F703E" w:rsidRDefault="00BA6265" w:rsidP="00660039">
            <w:pPr>
              <w:keepNext/>
              <w:rPr>
                <w:sz w:val="20"/>
                <w:szCs w:val="20"/>
              </w:rPr>
            </w:pPr>
            <w:r w:rsidRPr="005F703E">
              <w:rPr>
                <w:sz w:val="20"/>
                <w:szCs w:val="20"/>
              </w:rPr>
              <w:t>unclear</w:t>
            </w:r>
          </w:p>
        </w:tc>
        <w:tc>
          <w:tcPr>
            <w:tcW w:w="5315" w:type="dxa"/>
            <w:vMerge/>
          </w:tcPr>
          <w:p w:rsidR="00BA6265" w:rsidRPr="00DA4F2D" w:rsidRDefault="00BA6265" w:rsidP="00660039">
            <w:pPr>
              <w:keepNext/>
            </w:pPr>
          </w:p>
        </w:tc>
      </w:tr>
      <w:tr w:rsidR="00BA6265" w:rsidRPr="00DA4F2D" w:rsidTr="0034395B">
        <w:trPr>
          <w:trHeight w:val="450"/>
        </w:trPr>
        <w:tc>
          <w:tcPr>
            <w:tcW w:w="3482" w:type="dxa"/>
            <w:gridSpan w:val="3"/>
            <w:vAlign w:val="center"/>
          </w:tcPr>
          <w:p w:rsidR="00BA6265" w:rsidRPr="005F703E" w:rsidRDefault="00BA6265" w:rsidP="0034395B">
            <w:pPr>
              <w:keepNext/>
              <w:rPr>
                <w:sz w:val="20"/>
                <w:szCs w:val="20"/>
              </w:rPr>
            </w:pPr>
            <w:r w:rsidRPr="005F703E">
              <w:rPr>
                <w:sz w:val="20"/>
                <w:szCs w:val="20"/>
              </w:rPr>
              <w:t>used appropriate controls</w:t>
            </w:r>
          </w:p>
        </w:tc>
        <w:tc>
          <w:tcPr>
            <w:tcW w:w="1092" w:type="dxa"/>
            <w:vAlign w:val="center"/>
          </w:tcPr>
          <w:p w:rsidR="00BA6265" w:rsidRPr="005F703E" w:rsidRDefault="00BA6265" w:rsidP="00660039">
            <w:pPr>
              <w:keepNext/>
              <w:rPr>
                <w:sz w:val="20"/>
                <w:szCs w:val="20"/>
              </w:rPr>
            </w:pPr>
            <w:r w:rsidRPr="005F703E">
              <w:rPr>
                <w:sz w:val="20"/>
                <w:szCs w:val="20"/>
              </w:rPr>
              <w:t>yes</w:t>
            </w:r>
          </w:p>
        </w:tc>
        <w:tc>
          <w:tcPr>
            <w:tcW w:w="5315" w:type="dxa"/>
            <w:vMerge/>
          </w:tcPr>
          <w:p w:rsidR="00BA6265" w:rsidRPr="00DA4F2D" w:rsidRDefault="00BA6265" w:rsidP="00660039">
            <w:pPr>
              <w:keepNext/>
            </w:pPr>
          </w:p>
        </w:tc>
      </w:tr>
      <w:tr w:rsidR="00BA6265" w:rsidRPr="00DA4F2D" w:rsidTr="0034395B">
        <w:trPr>
          <w:trHeight w:val="450"/>
        </w:trPr>
        <w:tc>
          <w:tcPr>
            <w:tcW w:w="3482" w:type="dxa"/>
            <w:gridSpan w:val="3"/>
            <w:vAlign w:val="center"/>
          </w:tcPr>
          <w:p w:rsidR="00BA6265" w:rsidRPr="005F703E" w:rsidRDefault="00BA6265" w:rsidP="0034395B">
            <w:pPr>
              <w:keepNext/>
              <w:rPr>
                <w:sz w:val="20"/>
                <w:szCs w:val="20"/>
              </w:rPr>
            </w:pPr>
            <w:r w:rsidRPr="005F703E">
              <w:rPr>
                <w:sz w:val="20"/>
                <w:szCs w:val="20"/>
              </w:rPr>
              <w:t>analysis by intention to treat</w:t>
            </w:r>
          </w:p>
        </w:tc>
        <w:tc>
          <w:tcPr>
            <w:tcW w:w="1092" w:type="dxa"/>
            <w:vAlign w:val="center"/>
          </w:tcPr>
          <w:p w:rsidR="00BA6265" w:rsidRPr="005F703E" w:rsidRDefault="00BA6265" w:rsidP="00660039">
            <w:pPr>
              <w:keepNext/>
              <w:rPr>
                <w:sz w:val="20"/>
                <w:szCs w:val="20"/>
              </w:rPr>
            </w:pPr>
            <w:r w:rsidRPr="005F703E">
              <w:rPr>
                <w:sz w:val="20"/>
                <w:szCs w:val="20"/>
              </w:rPr>
              <w:t>no</w:t>
            </w:r>
          </w:p>
        </w:tc>
        <w:tc>
          <w:tcPr>
            <w:tcW w:w="5315" w:type="dxa"/>
            <w:vMerge/>
          </w:tcPr>
          <w:p w:rsidR="00BA6265" w:rsidRPr="00DA4F2D" w:rsidRDefault="00BA6265" w:rsidP="00660039">
            <w:pPr>
              <w:keepNext/>
            </w:pPr>
          </w:p>
        </w:tc>
      </w:tr>
      <w:tr w:rsidR="00BA6265" w:rsidRPr="00DA4F2D" w:rsidTr="0034395B">
        <w:trPr>
          <w:trHeight w:val="450"/>
        </w:trPr>
        <w:tc>
          <w:tcPr>
            <w:tcW w:w="3482" w:type="dxa"/>
            <w:gridSpan w:val="3"/>
            <w:vAlign w:val="center"/>
          </w:tcPr>
          <w:p w:rsidR="00BA6265" w:rsidRPr="005F703E" w:rsidRDefault="00BA6265" w:rsidP="0034395B">
            <w:pPr>
              <w:keepNext/>
              <w:rPr>
                <w:sz w:val="20"/>
                <w:szCs w:val="20"/>
              </w:rPr>
            </w:pPr>
            <w:r w:rsidRPr="005F703E">
              <w:rPr>
                <w:sz w:val="20"/>
                <w:szCs w:val="20"/>
              </w:rPr>
              <w:t>blinded assessment of primary outcome</w:t>
            </w:r>
          </w:p>
        </w:tc>
        <w:tc>
          <w:tcPr>
            <w:tcW w:w="1092" w:type="dxa"/>
            <w:vAlign w:val="center"/>
          </w:tcPr>
          <w:p w:rsidR="00BA6265" w:rsidRPr="005F703E" w:rsidRDefault="00BA6265" w:rsidP="00660039">
            <w:pPr>
              <w:keepNext/>
              <w:rPr>
                <w:sz w:val="20"/>
                <w:szCs w:val="20"/>
              </w:rPr>
            </w:pPr>
            <w:r w:rsidRPr="005F703E">
              <w:rPr>
                <w:sz w:val="20"/>
                <w:szCs w:val="20"/>
              </w:rPr>
              <w:t>unclear</w:t>
            </w:r>
          </w:p>
        </w:tc>
        <w:tc>
          <w:tcPr>
            <w:tcW w:w="5315" w:type="dxa"/>
            <w:vMerge/>
          </w:tcPr>
          <w:p w:rsidR="00BA6265" w:rsidRPr="00DA4F2D" w:rsidRDefault="00BA6265" w:rsidP="00660039">
            <w:pPr>
              <w:keepNext/>
            </w:pPr>
          </w:p>
        </w:tc>
      </w:tr>
      <w:tr w:rsidR="00BA6265" w:rsidRPr="00DA4F2D" w:rsidTr="0034395B">
        <w:trPr>
          <w:trHeight w:val="450"/>
        </w:trPr>
        <w:tc>
          <w:tcPr>
            <w:tcW w:w="3482" w:type="dxa"/>
            <w:gridSpan w:val="3"/>
            <w:vAlign w:val="center"/>
          </w:tcPr>
          <w:p w:rsidR="00BA6265" w:rsidRPr="005F703E" w:rsidRDefault="00BA6265" w:rsidP="0034395B">
            <w:pPr>
              <w:keepNext/>
              <w:rPr>
                <w:sz w:val="20"/>
                <w:szCs w:val="20"/>
              </w:rPr>
            </w:pPr>
            <w:r w:rsidRPr="005F703E">
              <w:rPr>
                <w:sz w:val="20"/>
                <w:szCs w:val="20"/>
              </w:rPr>
              <w:t>baseline measurement</w:t>
            </w:r>
          </w:p>
        </w:tc>
        <w:tc>
          <w:tcPr>
            <w:tcW w:w="1092" w:type="dxa"/>
            <w:vAlign w:val="center"/>
          </w:tcPr>
          <w:p w:rsidR="00BA6265" w:rsidRPr="005F703E" w:rsidRDefault="00BA6265" w:rsidP="00660039">
            <w:pPr>
              <w:keepNext/>
              <w:rPr>
                <w:sz w:val="20"/>
                <w:szCs w:val="20"/>
              </w:rPr>
            </w:pPr>
            <w:r w:rsidRPr="005F703E">
              <w:rPr>
                <w:sz w:val="20"/>
                <w:szCs w:val="20"/>
              </w:rPr>
              <w:t>yes</w:t>
            </w:r>
          </w:p>
        </w:tc>
        <w:tc>
          <w:tcPr>
            <w:tcW w:w="5315" w:type="dxa"/>
            <w:vMerge/>
          </w:tcPr>
          <w:p w:rsidR="00BA6265" w:rsidRPr="00DA4F2D" w:rsidRDefault="00BA6265" w:rsidP="00660039">
            <w:pPr>
              <w:keepNext/>
            </w:pPr>
          </w:p>
        </w:tc>
      </w:tr>
      <w:tr w:rsidR="00BA6265" w:rsidRPr="00DA4F2D" w:rsidTr="0034395B">
        <w:trPr>
          <w:trHeight w:val="450"/>
        </w:trPr>
        <w:tc>
          <w:tcPr>
            <w:tcW w:w="3482" w:type="dxa"/>
            <w:gridSpan w:val="3"/>
            <w:vAlign w:val="center"/>
          </w:tcPr>
          <w:p w:rsidR="00BA6265" w:rsidRPr="005F703E" w:rsidRDefault="00BA6265" w:rsidP="0034395B">
            <w:pPr>
              <w:keepNext/>
              <w:rPr>
                <w:sz w:val="20"/>
                <w:szCs w:val="20"/>
              </w:rPr>
            </w:pPr>
            <w:r w:rsidRPr="005F703E">
              <w:rPr>
                <w:sz w:val="20"/>
                <w:szCs w:val="20"/>
              </w:rPr>
              <w:t>reliable primary outcome measure</w:t>
            </w:r>
          </w:p>
        </w:tc>
        <w:tc>
          <w:tcPr>
            <w:tcW w:w="1092" w:type="dxa"/>
            <w:vAlign w:val="center"/>
          </w:tcPr>
          <w:p w:rsidR="00BA6265" w:rsidRPr="005F703E" w:rsidRDefault="00BA6265" w:rsidP="00660039">
            <w:pPr>
              <w:keepNext/>
              <w:rPr>
                <w:sz w:val="20"/>
                <w:szCs w:val="20"/>
              </w:rPr>
            </w:pPr>
            <w:r w:rsidRPr="005F703E">
              <w:rPr>
                <w:sz w:val="20"/>
                <w:szCs w:val="20"/>
              </w:rPr>
              <w:t>yes</w:t>
            </w:r>
          </w:p>
        </w:tc>
        <w:tc>
          <w:tcPr>
            <w:tcW w:w="5315" w:type="dxa"/>
            <w:vMerge/>
          </w:tcPr>
          <w:p w:rsidR="00BA6265" w:rsidRPr="00DA4F2D" w:rsidRDefault="00BA6265" w:rsidP="00660039">
            <w:pPr>
              <w:keepNext/>
            </w:pPr>
          </w:p>
        </w:tc>
      </w:tr>
      <w:tr w:rsidR="00BA6265" w:rsidRPr="00DA4F2D" w:rsidTr="0034395B">
        <w:trPr>
          <w:trHeight w:val="450"/>
        </w:trPr>
        <w:tc>
          <w:tcPr>
            <w:tcW w:w="3482" w:type="dxa"/>
            <w:gridSpan w:val="3"/>
            <w:vAlign w:val="center"/>
          </w:tcPr>
          <w:p w:rsidR="00BA6265" w:rsidRPr="005F703E" w:rsidRDefault="00BA6265" w:rsidP="0034395B">
            <w:pPr>
              <w:keepNext/>
              <w:rPr>
                <w:sz w:val="20"/>
                <w:szCs w:val="20"/>
              </w:rPr>
            </w:pPr>
            <w:r w:rsidRPr="005F703E">
              <w:rPr>
                <w:sz w:val="20"/>
                <w:szCs w:val="20"/>
              </w:rPr>
              <w:t>protection against contamination</w:t>
            </w:r>
          </w:p>
        </w:tc>
        <w:tc>
          <w:tcPr>
            <w:tcW w:w="1092" w:type="dxa"/>
            <w:vAlign w:val="center"/>
          </w:tcPr>
          <w:p w:rsidR="00BA6265" w:rsidRPr="005F703E" w:rsidRDefault="00BA6265" w:rsidP="00660039">
            <w:pPr>
              <w:keepNext/>
              <w:rPr>
                <w:sz w:val="20"/>
                <w:szCs w:val="20"/>
              </w:rPr>
            </w:pPr>
            <w:r w:rsidRPr="005F703E">
              <w:rPr>
                <w:sz w:val="20"/>
                <w:szCs w:val="20"/>
              </w:rPr>
              <w:t>unclear</w:t>
            </w:r>
          </w:p>
        </w:tc>
        <w:tc>
          <w:tcPr>
            <w:tcW w:w="5315" w:type="dxa"/>
            <w:vMerge/>
          </w:tcPr>
          <w:p w:rsidR="00BA6265" w:rsidRPr="00DA4F2D" w:rsidRDefault="00BA6265" w:rsidP="00660039">
            <w:pPr>
              <w:keepNext/>
            </w:pPr>
          </w:p>
        </w:tc>
      </w:tr>
    </w:tbl>
    <w:p w:rsidR="00BA6265" w:rsidRPr="0034395B" w:rsidRDefault="00BA6265" w:rsidP="00660039">
      <w:pPr>
        <w:keepNext/>
        <w:autoSpaceDE w:val="0"/>
        <w:autoSpaceDN w:val="0"/>
        <w:adjustRightInd w:val="0"/>
        <w:rPr>
          <w:sz w:val="22"/>
          <w:szCs w:val="22"/>
        </w:rPr>
      </w:pPr>
      <w:r w:rsidRPr="0034395B">
        <w:rPr>
          <w:sz w:val="22"/>
          <w:szCs w:val="22"/>
          <w:vertAlign w:val="superscript"/>
        </w:rPr>
        <w:t>1</w:t>
      </w:r>
      <w:r w:rsidRPr="0034395B">
        <w:rPr>
          <w:sz w:val="22"/>
          <w:szCs w:val="22"/>
        </w:rPr>
        <w:t xml:space="preserve">Risk of Bias. </w:t>
      </w:r>
      <w:r w:rsidRPr="0034395B">
        <w:rPr>
          <w:sz w:val="22"/>
          <w:szCs w:val="22"/>
          <w:vertAlign w:val="superscript"/>
        </w:rPr>
        <w:t>2</w:t>
      </w:r>
      <w:r w:rsidRPr="0034395B">
        <w:rPr>
          <w:sz w:val="22"/>
          <w:szCs w:val="22"/>
        </w:rPr>
        <w:t xml:space="preserve">Low ROB ≥5/6 criteria. </w:t>
      </w:r>
      <w:r w:rsidRPr="0034395B">
        <w:rPr>
          <w:sz w:val="22"/>
          <w:szCs w:val="22"/>
          <w:vertAlign w:val="superscript"/>
        </w:rPr>
        <w:t>3</w:t>
      </w:r>
      <w:r w:rsidRPr="0034395B">
        <w:rPr>
          <w:sz w:val="22"/>
          <w:szCs w:val="22"/>
        </w:rPr>
        <w:t xml:space="preserve">Medium ROB 3-4/6 criteria. </w:t>
      </w:r>
      <w:r w:rsidRPr="0034395B">
        <w:rPr>
          <w:sz w:val="22"/>
          <w:szCs w:val="22"/>
          <w:vertAlign w:val="superscript"/>
        </w:rPr>
        <w:t>4</w:t>
      </w:r>
      <w:r w:rsidRPr="0034395B">
        <w:rPr>
          <w:sz w:val="22"/>
          <w:szCs w:val="22"/>
        </w:rPr>
        <w:t>High ROB &lt; 3 criteria.</w:t>
      </w:r>
    </w:p>
    <w:p w:rsidR="00BA6265" w:rsidRPr="00DA4F2D" w:rsidRDefault="00BA6265" w:rsidP="00660039"/>
    <w:p w:rsidR="00BA6265" w:rsidRDefault="00BA6265" w:rsidP="00660039">
      <w:r w:rsidRPr="00DA4F2D">
        <w:t xml:space="preserve">In </w:t>
      </w:r>
      <w:r>
        <w:t xml:space="preserve">the Danish </w:t>
      </w:r>
      <w:r w:rsidRPr="00DA4F2D">
        <w:t>study</w:t>
      </w:r>
      <w:r>
        <w:t>,</w:t>
      </w:r>
      <w:r w:rsidRPr="00DA4F2D">
        <w:t xml:space="preserve"> adherence was defined at the 80% level. The intervention </w:t>
      </w:r>
      <w:r>
        <w:t xml:space="preserve">was delivered over </w:t>
      </w:r>
      <w:r w:rsidRPr="00DA4F2D">
        <w:t>12 weeks</w:t>
      </w:r>
      <w:r>
        <w:t>.</w:t>
      </w:r>
      <w:r w:rsidRPr="00DA4F2D">
        <w:t xml:space="preserve"> Participants </w:t>
      </w:r>
      <w:proofErr w:type="spellStart"/>
      <w:r w:rsidRPr="00DA4F2D">
        <w:t>self selected</w:t>
      </w:r>
      <w:proofErr w:type="spellEnd"/>
      <w:r>
        <w:t xml:space="preserve"> by </w:t>
      </w:r>
      <w:r w:rsidRPr="00DA4F2D">
        <w:t>respond</w:t>
      </w:r>
      <w:r>
        <w:t>ing</w:t>
      </w:r>
      <w:r w:rsidRPr="00DA4F2D">
        <w:t xml:space="preserve"> to an advertisement</w:t>
      </w:r>
      <w:r>
        <w:t>.</w:t>
      </w:r>
      <w:r w:rsidRPr="00DA4F2D">
        <w:t xml:space="preserve"> </w:t>
      </w:r>
      <w:r>
        <w:t>Those who</w:t>
      </w:r>
      <w:r w:rsidRPr="00DA4F2D">
        <w:t xml:space="preserve"> volunteered to participate </w:t>
      </w:r>
      <w:r>
        <w:t xml:space="preserve">received a </w:t>
      </w:r>
      <w:r w:rsidRPr="00DA4F2D">
        <w:t xml:space="preserve">medical screening </w:t>
      </w:r>
      <w:r>
        <w:t>to determine eligibility. Those deemed</w:t>
      </w:r>
      <w:r w:rsidRPr="00DA4F2D">
        <w:t xml:space="preserve"> eligible were randomised to intervention or control groups. The researchers considered that a daily SMS message would create a higher awareness of asthma control and treatment and this would lead to improved adherent behaviour. The daily message was intended to counter the reported problem of forgetfulness. The non-personalised message sent was “</w:t>
      </w:r>
      <w:r w:rsidRPr="00DA4F2D">
        <w:rPr>
          <w:i/>
        </w:rPr>
        <w:t>Remember to take your asthma medication morning and evening. From the Respiratory Unit”</w:t>
      </w:r>
      <w:r>
        <w:rPr>
          <w:i/>
        </w:rPr>
        <w:t xml:space="preserve"> </w:t>
      </w:r>
      <w:r w:rsidRPr="00EC7332">
        <w:t>(p</w:t>
      </w:r>
      <w:r>
        <w:t xml:space="preserve"> 168</w:t>
      </w:r>
      <w:r w:rsidRPr="00EC7332">
        <w:t>)</w:t>
      </w:r>
      <w:r w:rsidRPr="00DA4F2D">
        <w:rPr>
          <w:i/>
        </w:rPr>
        <w:t xml:space="preserve">. </w:t>
      </w:r>
      <w:r>
        <w:t>The researchers reported that</w:t>
      </w:r>
      <w:r w:rsidRPr="00DA4F2D">
        <w:t xml:space="preserve"> participant</w:t>
      </w:r>
      <w:r>
        <w:t>s</w:t>
      </w:r>
      <w:r w:rsidRPr="00DA4F2D">
        <w:t>’ perceived receiving a</w:t>
      </w:r>
      <w:r>
        <w:t>n</w:t>
      </w:r>
      <w:r w:rsidRPr="00DA4F2D">
        <w:t xml:space="preserve"> SMS </w:t>
      </w:r>
      <w:r>
        <w:t>a</w:t>
      </w:r>
      <w:r w:rsidRPr="00DA4F2D">
        <w:t xml:space="preserve">s positive. A non-personalised SMS message was sent at 10am each day. Participants </w:t>
      </w:r>
      <w:r>
        <w:t xml:space="preserve">did </w:t>
      </w:r>
      <w:r w:rsidRPr="00DA4F2D">
        <w:t xml:space="preserve">later report that this time was inconvenient. Most of the participants in the intervention group reported that </w:t>
      </w:r>
      <w:r>
        <w:t xml:space="preserve">although </w:t>
      </w:r>
      <w:r w:rsidRPr="00DA4F2D">
        <w:t xml:space="preserve">they noticed the SMS daily </w:t>
      </w:r>
      <w:r>
        <w:t>they</w:t>
      </w:r>
      <w:r w:rsidRPr="00DA4F2D">
        <w:t xml:space="preserve"> stopped reading it after some weeks. The researchers report that the SMS appeared to serv</w:t>
      </w:r>
      <w:r>
        <w:t>e</w:t>
      </w:r>
      <w:r w:rsidRPr="00DA4F2D">
        <w:t xml:space="preserve"> as a simple alarm clock on a cell phone after a number of weeks.</w:t>
      </w:r>
    </w:p>
    <w:p w:rsidR="00BA6265" w:rsidRDefault="00BA6265" w:rsidP="00660039"/>
    <w:p w:rsidR="00BA6265" w:rsidRPr="00EC7332" w:rsidRDefault="00BA6265" w:rsidP="00C96163">
      <w:pPr>
        <w:pStyle w:val="Heading7"/>
      </w:pPr>
      <w:r w:rsidRPr="00EC7332">
        <w:t>Mobile Phone text messaging for improving adherence among adolescents and young adults with SLE</w:t>
      </w:r>
    </w:p>
    <w:p w:rsidR="00BA6265" w:rsidRPr="00DA4F2D" w:rsidRDefault="00BA6265" w:rsidP="00660039">
      <w:r w:rsidRPr="00DA4F2D">
        <w:t>One study</w:t>
      </w:r>
      <w:r>
        <w:t xml:space="preserve"> </w:t>
      </w:r>
      <w:r w:rsidR="009B5648">
        <w:fldChar w:fldCharType="begin"/>
      </w:r>
      <w:r>
        <w:instrText xml:space="preserve"> ADDIN REFMGR.CITE &lt;Refman&gt;&lt;Cite&gt;&lt;Author&gt;Ting&lt;/Author&gt;&lt;Year&gt;2012&lt;/Year&gt;&lt;RecNum&gt;5&lt;/RecNum&gt;&lt;IDText&gt;Usefulness of cellular text messaging for improving adherence among adolescents and young adults with systemic lupus erythematosus&lt;/IDText&gt;&lt;MDL Ref_Type="Journal"&gt;&lt;Ref_Type&gt;Journal&lt;/Ref_Type&gt;&lt;Ref_ID&gt;5&lt;/Ref_ID&gt;&lt;Title_Primary&gt;Usefulness of cellular text messaging for improving adherence among adolescents and young adults with systemic lupus erythematosus&lt;/Title_Primary&gt;&lt;Authors_Primary&gt;Ting,T.V.&lt;/Authors_Primary&gt;&lt;Authors_Primary&gt;Kudalkar,D.&lt;/Authors_Primary&gt;&lt;Authors_Primary&gt;Nelson,S.&lt;/Authors_Primary&gt;&lt;Authors_Primary&gt;Cortina,S.&lt;/Authors_Primary&gt;&lt;Authors_Primary&gt;Pendl,J.&lt;/Authors_Primary&gt;&lt;Authors_Primary&gt;Budhani,S.&lt;/Authors_Primary&gt;&lt;Authors_Primary&gt;Neville,J.&lt;/Authors_Primary&gt;&lt;Authors_Primary&gt;Taylor,J.&lt;/Authors_Primary&gt;&lt;Authors_Primary&gt;Huggins,J.&lt;/Authors_Primary&gt;&lt;Authors_Primary&gt;Drotar,D.&lt;/Authors_Primary&gt;&lt;Authors_Primary&gt;Brunner,H.I.&lt;/Authors_Primary&gt;&lt;Date_Primary&gt;2012/1&lt;/Date_Primary&gt;&lt;Keywords&gt;Adolescent&lt;/Keywords&gt;&lt;Keywords&gt;Adult&lt;/Keywords&gt;&lt;Keywords&gt;Ambulatory Care Facilities&lt;/Keywords&gt;&lt;Keywords&gt;Antirheumatic Agents&lt;/Keywords&gt;&lt;Keywords&gt;blood&lt;/Keywords&gt;&lt;Keywords&gt;drug therapy&lt;/Keywords&gt;&lt;Keywords&gt;education&lt;/Keywords&gt;&lt;Keywords&gt;Female&lt;/Keywords&gt;&lt;Keywords&gt;Humans&lt;/Keywords&gt;&lt;Keywords&gt;Hydroxychloroquine&lt;/Keywords&gt;&lt;Keywords&gt;Lupus Erythematosus,Systemic&lt;/Keywords&gt;&lt;Keywords&gt;Male&lt;/Keywords&gt;&lt;Keywords&gt;Medication Adherence&lt;/Keywords&gt;&lt;Keywords&gt;methods&lt;/Keywords&gt;&lt;Keywords&gt;Patient Compliance&lt;/Keywords&gt;&lt;Keywords&gt;physiopathology&lt;/Keywords&gt;&lt;Keywords&gt;Questionnaires&lt;/Keywords&gt;&lt;Keywords&gt;Text Messaging&lt;/Keywords&gt;&lt;Keywords&gt;therapeutic use&lt;/Keywords&gt;&lt;Keywords&gt;Young Adult&lt;/Keywords&gt;&lt;Reprint&gt;Not in File&lt;/Reprint&gt;&lt;Start_Page&gt;174&lt;/Start_Page&gt;&lt;End_Page&gt;179&lt;/End_Page&gt;&lt;Periodical&gt;J.Rheumatol.&lt;/Periodical&gt;&lt;Volume&gt;39&lt;/Volume&gt;&lt;Issue&gt;1&lt;/Issue&gt;&lt;Address&gt;Cincinnati Children&amp;apos;s Hospital Medical Center, William Rowe Division of Rheumatology, MLC 4010, 3333 Burnet Avenue, Cincinnati, OH 45229-3039, USA. tracy.ting@cchmc.org&lt;/Address&gt;&lt;Web_URL&gt;PM:22089460&lt;/Web_URL&gt;&lt;ZZ_JournalStdAbbrev&gt;&lt;f name="System"&gt;J.Rheumatol.&lt;/f&gt;&lt;/ZZ_JournalStdAbbrev&gt;&lt;ZZ_WorkformID&gt;1&lt;/ZZ_WorkformID&gt;&lt;/MDL&gt;&lt;/Cite&gt;&lt;/Refman&gt;</w:instrText>
      </w:r>
      <w:r w:rsidR="009B5648">
        <w:fldChar w:fldCharType="separate"/>
      </w:r>
      <w:r>
        <w:t>[20]</w:t>
      </w:r>
      <w:r w:rsidR="009B5648">
        <w:fldChar w:fldCharType="end"/>
      </w:r>
      <w:r w:rsidRPr="00DA4F2D">
        <w:t xml:space="preserve"> is included in this category. </w:t>
      </w:r>
      <w:r>
        <w:t xml:space="preserve">The study </w:t>
      </w:r>
      <w:r w:rsidRPr="00DA4F2D">
        <w:t>was completed in an urban USA context and all participants in the adherence component of this study were aged over 18 years.</w:t>
      </w:r>
    </w:p>
    <w:p w:rsidR="00BA6265" w:rsidRDefault="00BA6265" w:rsidP="00660039">
      <w:pPr>
        <w:rPr>
          <w:b/>
        </w:rPr>
      </w:pPr>
    </w:p>
    <w:p w:rsidR="00BA6265" w:rsidRDefault="00BA6265">
      <w:pPr>
        <w:rPr>
          <w:b/>
        </w:rPr>
      </w:pPr>
      <w:r>
        <w:rPr>
          <w:b/>
        </w:rPr>
        <w:br w:type="page"/>
      </w:r>
    </w:p>
    <w:p w:rsidR="00BA6265" w:rsidRDefault="00BA6265" w:rsidP="00660039">
      <w:pPr>
        <w:rPr>
          <w:b/>
        </w:rPr>
      </w:pPr>
      <w:proofErr w:type="gramStart"/>
      <w:r w:rsidRPr="00C96163">
        <w:rPr>
          <w:rStyle w:val="Heading7Char"/>
        </w:rPr>
        <w:lastRenderedPageBreak/>
        <w:t xml:space="preserve">Table </w:t>
      </w:r>
      <w:r w:rsidR="009B5648" w:rsidRPr="00C96163">
        <w:rPr>
          <w:rStyle w:val="Heading7Char"/>
        </w:rPr>
        <w:fldChar w:fldCharType="begin"/>
      </w:r>
      <w:r w:rsidRPr="00C96163">
        <w:rPr>
          <w:rStyle w:val="Heading7Char"/>
        </w:rPr>
        <w:instrText xml:space="preserve"> SEQ Table \* ARABIC </w:instrText>
      </w:r>
      <w:r w:rsidR="009B5648" w:rsidRPr="00C96163">
        <w:rPr>
          <w:rStyle w:val="Heading7Char"/>
        </w:rPr>
        <w:fldChar w:fldCharType="separate"/>
      </w:r>
      <w:r w:rsidR="00653C68" w:rsidRPr="00C96163">
        <w:rPr>
          <w:rStyle w:val="Heading7Char"/>
        </w:rPr>
        <w:t>4</w:t>
      </w:r>
      <w:r w:rsidR="009B5648" w:rsidRPr="00C96163">
        <w:rPr>
          <w:rStyle w:val="Heading7Char"/>
        </w:rPr>
        <w:fldChar w:fldCharType="end"/>
      </w:r>
      <w:r w:rsidRPr="00C96163">
        <w:rPr>
          <w:rStyle w:val="Heading7Char"/>
        </w:rPr>
        <w:t>.</w:t>
      </w:r>
      <w:proofErr w:type="gramEnd"/>
      <w:r>
        <w:rPr>
          <w:b/>
        </w:rPr>
        <w:t xml:space="preserve"> </w:t>
      </w:r>
      <w:r w:rsidRPr="00F90352">
        <w:t xml:space="preserve">Mobile phone text messaging – Systemic Lupus </w:t>
      </w:r>
      <w:proofErr w:type="spellStart"/>
      <w:r w:rsidRPr="00F90352">
        <w:t>Erythematosus</w:t>
      </w:r>
      <w:proofErr w:type="spellEnd"/>
      <w:r w:rsidRPr="00F90352">
        <w:rPr>
          <w:b/>
        </w:rPr>
        <w:t xml:space="preserve"> </w:t>
      </w:r>
    </w:p>
    <w:p w:rsidR="00BA6265" w:rsidRPr="00F90352" w:rsidRDefault="00BA6265" w:rsidP="0066003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1077"/>
        <w:gridCol w:w="1163"/>
        <w:gridCol w:w="1092"/>
        <w:gridCol w:w="5316"/>
      </w:tblGrid>
      <w:tr w:rsidR="00BA6265" w:rsidRPr="00DA4F2D" w:rsidTr="0034395B">
        <w:tc>
          <w:tcPr>
            <w:tcW w:w="1241" w:type="dxa"/>
            <w:vMerge w:val="restart"/>
            <w:vAlign w:val="center"/>
          </w:tcPr>
          <w:p w:rsidR="00BA6265" w:rsidRPr="00DA4F2D" w:rsidRDefault="00BA6265" w:rsidP="00660039">
            <w:pPr>
              <w:keepNext/>
            </w:pPr>
          </w:p>
        </w:tc>
        <w:tc>
          <w:tcPr>
            <w:tcW w:w="3332" w:type="dxa"/>
            <w:gridSpan w:val="3"/>
            <w:vAlign w:val="center"/>
          </w:tcPr>
          <w:p w:rsidR="00BA6265" w:rsidRPr="00DA4F2D" w:rsidRDefault="00BA6265" w:rsidP="00660039">
            <w:pPr>
              <w:keepNext/>
            </w:pPr>
            <w:r w:rsidRPr="00DA4F2D">
              <w:t xml:space="preserve">Study </w:t>
            </w:r>
            <w:r>
              <w:t>ROB</w:t>
            </w:r>
            <w:r>
              <w:rPr>
                <w:vertAlign w:val="superscript"/>
              </w:rPr>
              <w:t>1</w:t>
            </w:r>
            <w:r>
              <w:t xml:space="preserve"> </w:t>
            </w:r>
            <w:r w:rsidRPr="00DA4F2D">
              <w:t xml:space="preserve">Rating </w:t>
            </w:r>
          </w:p>
        </w:tc>
        <w:tc>
          <w:tcPr>
            <w:tcW w:w="5316" w:type="dxa"/>
            <w:vMerge w:val="restart"/>
            <w:vAlign w:val="center"/>
          </w:tcPr>
          <w:p w:rsidR="00BA6265" w:rsidRPr="0034395B" w:rsidRDefault="00BA6265" w:rsidP="00660039">
            <w:pPr>
              <w:keepNext/>
              <w:rPr>
                <w:b/>
              </w:rPr>
            </w:pPr>
            <w:r w:rsidRPr="0034395B">
              <w:rPr>
                <w:b/>
              </w:rPr>
              <w:t>Findings</w:t>
            </w:r>
          </w:p>
        </w:tc>
      </w:tr>
      <w:tr w:rsidR="00BA6265" w:rsidRPr="00DA4F2D" w:rsidTr="0034395B">
        <w:trPr>
          <w:trHeight w:val="367"/>
        </w:trPr>
        <w:tc>
          <w:tcPr>
            <w:tcW w:w="1241" w:type="dxa"/>
            <w:vMerge/>
          </w:tcPr>
          <w:p w:rsidR="00BA6265" w:rsidRPr="00DA4F2D" w:rsidRDefault="00BA6265" w:rsidP="00660039">
            <w:pPr>
              <w:keepNext/>
            </w:pPr>
          </w:p>
        </w:tc>
        <w:tc>
          <w:tcPr>
            <w:tcW w:w="1077" w:type="dxa"/>
            <w:vAlign w:val="center"/>
          </w:tcPr>
          <w:p w:rsidR="00BA6265" w:rsidRPr="0034395B" w:rsidRDefault="00BA6265" w:rsidP="00660039">
            <w:pPr>
              <w:keepNext/>
              <w:rPr>
                <w:b/>
                <w:vertAlign w:val="superscript"/>
              </w:rPr>
            </w:pPr>
            <w:r w:rsidRPr="0034395B">
              <w:rPr>
                <w:b/>
              </w:rPr>
              <w:t>Low</w:t>
            </w:r>
            <w:r w:rsidRPr="0034395B">
              <w:rPr>
                <w:b/>
                <w:vertAlign w:val="superscript"/>
              </w:rPr>
              <w:t>2</w:t>
            </w:r>
          </w:p>
        </w:tc>
        <w:tc>
          <w:tcPr>
            <w:tcW w:w="1163" w:type="dxa"/>
            <w:vAlign w:val="center"/>
          </w:tcPr>
          <w:p w:rsidR="00BA6265" w:rsidRPr="0034395B" w:rsidRDefault="00BA6265" w:rsidP="00660039">
            <w:pPr>
              <w:keepNext/>
              <w:rPr>
                <w:b/>
                <w:vertAlign w:val="superscript"/>
              </w:rPr>
            </w:pPr>
            <w:r w:rsidRPr="0034395B">
              <w:rPr>
                <w:b/>
              </w:rPr>
              <w:t>Medium</w:t>
            </w:r>
            <w:r w:rsidRPr="0034395B">
              <w:rPr>
                <w:b/>
                <w:vertAlign w:val="superscript"/>
              </w:rPr>
              <w:t>3</w:t>
            </w:r>
          </w:p>
        </w:tc>
        <w:tc>
          <w:tcPr>
            <w:tcW w:w="1092" w:type="dxa"/>
            <w:vAlign w:val="center"/>
          </w:tcPr>
          <w:p w:rsidR="00BA6265" w:rsidRPr="0034395B" w:rsidRDefault="00BA6265" w:rsidP="00660039">
            <w:pPr>
              <w:keepNext/>
              <w:rPr>
                <w:b/>
                <w:vertAlign w:val="superscript"/>
              </w:rPr>
            </w:pPr>
            <w:r w:rsidRPr="0034395B">
              <w:rPr>
                <w:b/>
              </w:rPr>
              <w:t>High</w:t>
            </w:r>
            <w:r w:rsidRPr="0034395B">
              <w:rPr>
                <w:b/>
                <w:vertAlign w:val="superscript"/>
              </w:rPr>
              <w:t>4</w:t>
            </w:r>
          </w:p>
        </w:tc>
        <w:tc>
          <w:tcPr>
            <w:tcW w:w="5316" w:type="dxa"/>
            <w:vMerge/>
          </w:tcPr>
          <w:p w:rsidR="00BA6265" w:rsidRPr="00DA4F2D" w:rsidRDefault="00BA6265" w:rsidP="00660039">
            <w:pPr>
              <w:keepNext/>
            </w:pPr>
          </w:p>
        </w:tc>
      </w:tr>
      <w:tr w:rsidR="00BA6265" w:rsidRPr="00DA4F2D" w:rsidTr="00B25816">
        <w:trPr>
          <w:trHeight w:val="426"/>
        </w:trPr>
        <w:tc>
          <w:tcPr>
            <w:tcW w:w="1241" w:type="dxa"/>
          </w:tcPr>
          <w:p w:rsidR="00BA6265" w:rsidRPr="005F703E" w:rsidRDefault="00BA6265" w:rsidP="00660039">
            <w:pPr>
              <w:keepNext/>
              <w:rPr>
                <w:sz w:val="20"/>
                <w:szCs w:val="20"/>
              </w:rPr>
            </w:pPr>
            <w:r w:rsidRPr="005F703E">
              <w:rPr>
                <w:sz w:val="20"/>
                <w:szCs w:val="20"/>
              </w:rPr>
              <w:t>Study</w:t>
            </w:r>
          </w:p>
        </w:tc>
        <w:tc>
          <w:tcPr>
            <w:tcW w:w="1077" w:type="dxa"/>
          </w:tcPr>
          <w:p w:rsidR="00BA6265" w:rsidRPr="005F703E" w:rsidRDefault="00BA6265" w:rsidP="00660039">
            <w:pPr>
              <w:keepNext/>
              <w:rPr>
                <w:sz w:val="20"/>
                <w:szCs w:val="20"/>
              </w:rPr>
            </w:pPr>
          </w:p>
        </w:tc>
        <w:tc>
          <w:tcPr>
            <w:tcW w:w="1163" w:type="dxa"/>
          </w:tcPr>
          <w:p w:rsidR="00BA6265" w:rsidRPr="005F703E" w:rsidRDefault="00BA6265" w:rsidP="00660039">
            <w:pPr>
              <w:keepNext/>
              <w:rPr>
                <w:sz w:val="20"/>
                <w:szCs w:val="20"/>
              </w:rPr>
            </w:pPr>
          </w:p>
        </w:tc>
        <w:tc>
          <w:tcPr>
            <w:tcW w:w="1092" w:type="dxa"/>
          </w:tcPr>
          <w:p w:rsidR="00BA6265" w:rsidRPr="005F703E" w:rsidRDefault="00BA6265" w:rsidP="00660039">
            <w:pPr>
              <w:keepNext/>
              <w:rPr>
                <w:sz w:val="20"/>
                <w:szCs w:val="20"/>
              </w:rPr>
            </w:pPr>
            <w:r w:rsidRPr="005F703E">
              <w:rPr>
                <w:sz w:val="20"/>
                <w:szCs w:val="20"/>
              </w:rPr>
              <w:t>1</w:t>
            </w:r>
          </w:p>
        </w:tc>
        <w:tc>
          <w:tcPr>
            <w:tcW w:w="5316" w:type="dxa"/>
            <w:vMerge w:val="restart"/>
            <w:vAlign w:val="center"/>
          </w:tcPr>
          <w:p w:rsidR="00BA6265" w:rsidRPr="005F703E" w:rsidRDefault="00BA6265" w:rsidP="00B25816">
            <w:pPr>
              <w:keepNext/>
              <w:rPr>
                <w:sz w:val="20"/>
                <w:szCs w:val="20"/>
              </w:rPr>
            </w:pPr>
            <w:r w:rsidRPr="005F703E">
              <w:rPr>
                <w:sz w:val="20"/>
                <w:szCs w:val="20"/>
              </w:rPr>
              <w:t xml:space="preserve">This study met 2 out of 8 criteria. No clear evidence of benefit due to methodological concerns. </w:t>
            </w:r>
          </w:p>
        </w:tc>
      </w:tr>
      <w:tr w:rsidR="00BA6265" w:rsidRPr="00DA4F2D" w:rsidTr="0034395B">
        <w:trPr>
          <w:trHeight w:val="339"/>
        </w:trPr>
        <w:tc>
          <w:tcPr>
            <w:tcW w:w="4573" w:type="dxa"/>
            <w:gridSpan w:val="4"/>
          </w:tcPr>
          <w:p w:rsidR="00BA6265" w:rsidRPr="005F703E" w:rsidRDefault="00BA6265" w:rsidP="00660039">
            <w:pPr>
              <w:keepNext/>
              <w:rPr>
                <w:i/>
                <w:sz w:val="20"/>
                <w:szCs w:val="20"/>
              </w:rPr>
            </w:pPr>
            <w:r w:rsidRPr="005F703E">
              <w:rPr>
                <w:i/>
                <w:sz w:val="20"/>
                <w:szCs w:val="20"/>
              </w:rPr>
              <w:t>Study Quality Score</w:t>
            </w:r>
          </w:p>
        </w:tc>
        <w:tc>
          <w:tcPr>
            <w:tcW w:w="5316" w:type="dxa"/>
            <w:vMerge/>
          </w:tcPr>
          <w:p w:rsidR="00BA6265" w:rsidRPr="00DA4F2D" w:rsidRDefault="00BA6265" w:rsidP="00660039">
            <w:pPr>
              <w:keepNext/>
            </w:pPr>
          </w:p>
        </w:tc>
      </w:tr>
      <w:tr w:rsidR="00BA6265" w:rsidRPr="00DA4F2D" w:rsidTr="0034395B">
        <w:trPr>
          <w:trHeight w:val="423"/>
        </w:trPr>
        <w:tc>
          <w:tcPr>
            <w:tcW w:w="3481" w:type="dxa"/>
            <w:gridSpan w:val="3"/>
          </w:tcPr>
          <w:p w:rsidR="00BA6265" w:rsidRPr="005F703E" w:rsidRDefault="00BA6265" w:rsidP="00D346C7">
            <w:pPr>
              <w:keepNext/>
              <w:rPr>
                <w:sz w:val="20"/>
                <w:szCs w:val="20"/>
              </w:rPr>
            </w:pPr>
            <w:r w:rsidRPr="005F703E">
              <w:rPr>
                <w:sz w:val="20"/>
                <w:szCs w:val="20"/>
              </w:rPr>
              <w:t xml:space="preserve">randomisation </w:t>
            </w:r>
          </w:p>
        </w:tc>
        <w:tc>
          <w:tcPr>
            <w:tcW w:w="1092" w:type="dxa"/>
          </w:tcPr>
          <w:p w:rsidR="00BA6265" w:rsidRPr="005F703E" w:rsidRDefault="00BA6265" w:rsidP="00660039">
            <w:pPr>
              <w:keepNext/>
              <w:rPr>
                <w:sz w:val="20"/>
                <w:szCs w:val="20"/>
              </w:rPr>
            </w:pPr>
            <w:r w:rsidRPr="005F703E">
              <w:rPr>
                <w:sz w:val="20"/>
                <w:szCs w:val="20"/>
              </w:rPr>
              <w:t>unclear</w:t>
            </w:r>
          </w:p>
        </w:tc>
        <w:tc>
          <w:tcPr>
            <w:tcW w:w="5316" w:type="dxa"/>
            <w:vMerge/>
          </w:tcPr>
          <w:p w:rsidR="00BA6265" w:rsidRPr="00DA4F2D" w:rsidRDefault="00BA6265" w:rsidP="00660039">
            <w:pPr>
              <w:keepNext/>
            </w:pPr>
          </w:p>
        </w:tc>
      </w:tr>
      <w:tr w:rsidR="00BA6265" w:rsidRPr="00DA4F2D" w:rsidTr="0034395B">
        <w:trPr>
          <w:trHeight w:val="450"/>
        </w:trPr>
        <w:tc>
          <w:tcPr>
            <w:tcW w:w="3481" w:type="dxa"/>
            <w:gridSpan w:val="3"/>
          </w:tcPr>
          <w:p w:rsidR="00BA6265" w:rsidRPr="005F703E" w:rsidRDefault="00BA6265" w:rsidP="00D346C7">
            <w:pPr>
              <w:keepNext/>
              <w:rPr>
                <w:sz w:val="20"/>
                <w:szCs w:val="20"/>
              </w:rPr>
            </w:pPr>
            <w:r w:rsidRPr="005F703E">
              <w:rPr>
                <w:sz w:val="20"/>
                <w:szCs w:val="20"/>
              </w:rPr>
              <w:t xml:space="preserve">concealment of allocation </w:t>
            </w:r>
          </w:p>
        </w:tc>
        <w:tc>
          <w:tcPr>
            <w:tcW w:w="1092" w:type="dxa"/>
          </w:tcPr>
          <w:p w:rsidR="00BA6265" w:rsidRPr="005F703E" w:rsidRDefault="00BA6265" w:rsidP="00660039">
            <w:pPr>
              <w:keepNext/>
              <w:rPr>
                <w:sz w:val="20"/>
                <w:szCs w:val="20"/>
              </w:rPr>
            </w:pPr>
            <w:r w:rsidRPr="005F703E">
              <w:rPr>
                <w:sz w:val="20"/>
                <w:szCs w:val="20"/>
              </w:rPr>
              <w:t>unclear</w:t>
            </w:r>
          </w:p>
        </w:tc>
        <w:tc>
          <w:tcPr>
            <w:tcW w:w="5316" w:type="dxa"/>
            <w:vMerge/>
          </w:tcPr>
          <w:p w:rsidR="00BA6265" w:rsidRPr="00DA4F2D" w:rsidRDefault="00BA6265" w:rsidP="00660039">
            <w:pPr>
              <w:keepNext/>
            </w:pPr>
          </w:p>
        </w:tc>
      </w:tr>
      <w:tr w:rsidR="00BA6265" w:rsidRPr="00DA4F2D" w:rsidTr="0034395B">
        <w:trPr>
          <w:trHeight w:val="450"/>
        </w:trPr>
        <w:tc>
          <w:tcPr>
            <w:tcW w:w="3481" w:type="dxa"/>
            <w:gridSpan w:val="3"/>
          </w:tcPr>
          <w:p w:rsidR="00BA6265" w:rsidRPr="005F703E" w:rsidRDefault="00BA6265" w:rsidP="00D346C7">
            <w:pPr>
              <w:keepNext/>
              <w:rPr>
                <w:sz w:val="20"/>
                <w:szCs w:val="20"/>
              </w:rPr>
            </w:pPr>
            <w:r w:rsidRPr="005F703E">
              <w:rPr>
                <w:sz w:val="20"/>
                <w:szCs w:val="20"/>
              </w:rPr>
              <w:t>used appropriate controls</w:t>
            </w:r>
          </w:p>
        </w:tc>
        <w:tc>
          <w:tcPr>
            <w:tcW w:w="1092" w:type="dxa"/>
          </w:tcPr>
          <w:p w:rsidR="00BA6265" w:rsidRPr="005F703E" w:rsidRDefault="00BA6265" w:rsidP="00660039">
            <w:pPr>
              <w:keepNext/>
              <w:rPr>
                <w:sz w:val="20"/>
                <w:szCs w:val="20"/>
              </w:rPr>
            </w:pPr>
            <w:r w:rsidRPr="005F703E">
              <w:rPr>
                <w:sz w:val="20"/>
                <w:szCs w:val="20"/>
              </w:rPr>
              <w:t>unclear</w:t>
            </w:r>
          </w:p>
        </w:tc>
        <w:tc>
          <w:tcPr>
            <w:tcW w:w="5316" w:type="dxa"/>
            <w:vMerge/>
          </w:tcPr>
          <w:p w:rsidR="00BA6265" w:rsidRPr="00DA4F2D" w:rsidRDefault="00BA6265" w:rsidP="00660039">
            <w:pPr>
              <w:keepNext/>
            </w:pPr>
          </w:p>
        </w:tc>
      </w:tr>
      <w:tr w:rsidR="00BA6265" w:rsidRPr="00DA4F2D" w:rsidTr="0034395B">
        <w:trPr>
          <w:trHeight w:val="450"/>
        </w:trPr>
        <w:tc>
          <w:tcPr>
            <w:tcW w:w="3481" w:type="dxa"/>
            <w:gridSpan w:val="3"/>
          </w:tcPr>
          <w:p w:rsidR="00BA6265" w:rsidRPr="005F703E" w:rsidRDefault="00BA6265" w:rsidP="00D346C7">
            <w:pPr>
              <w:keepNext/>
              <w:rPr>
                <w:sz w:val="20"/>
                <w:szCs w:val="20"/>
              </w:rPr>
            </w:pPr>
            <w:r w:rsidRPr="005F703E">
              <w:rPr>
                <w:sz w:val="20"/>
                <w:szCs w:val="20"/>
              </w:rPr>
              <w:t>analysis by intention to treat</w:t>
            </w:r>
          </w:p>
        </w:tc>
        <w:tc>
          <w:tcPr>
            <w:tcW w:w="1092" w:type="dxa"/>
          </w:tcPr>
          <w:p w:rsidR="00BA6265" w:rsidRPr="005F703E" w:rsidRDefault="00BA6265" w:rsidP="00660039">
            <w:pPr>
              <w:keepNext/>
              <w:rPr>
                <w:sz w:val="20"/>
                <w:szCs w:val="20"/>
              </w:rPr>
            </w:pPr>
            <w:r w:rsidRPr="005F703E">
              <w:rPr>
                <w:sz w:val="20"/>
                <w:szCs w:val="20"/>
              </w:rPr>
              <w:t>no</w:t>
            </w:r>
          </w:p>
        </w:tc>
        <w:tc>
          <w:tcPr>
            <w:tcW w:w="5316" w:type="dxa"/>
            <w:vMerge/>
          </w:tcPr>
          <w:p w:rsidR="00BA6265" w:rsidRPr="00DA4F2D" w:rsidRDefault="00BA6265" w:rsidP="00660039">
            <w:pPr>
              <w:keepNext/>
            </w:pPr>
          </w:p>
        </w:tc>
      </w:tr>
      <w:tr w:rsidR="00BA6265" w:rsidRPr="00DA4F2D" w:rsidTr="0034395B">
        <w:trPr>
          <w:trHeight w:val="450"/>
        </w:trPr>
        <w:tc>
          <w:tcPr>
            <w:tcW w:w="3481" w:type="dxa"/>
            <w:gridSpan w:val="3"/>
          </w:tcPr>
          <w:p w:rsidR="00BA6265" w:rsidRPr="005F703E" w:rsidRDefault="00BA6265" w:rsidP="00D346C7">
            <w:pPr>
              <w:keepNext/>
              <w:rPr>
                <w:sz w:val="20"/>
                <w:szCs w:val="20"/>
              </w:rPr>
            </w:pPr>
            <w:r w:rsidRPr="005F703E">
              <w:rPr>
                <w:sz w:val="20"/>
                <w:szCs w:val="20"/>
              </w:rPr>
              <w:t>blinded assessment of primary outcome</w:t>
            </w:r>
          </w:p>
        </w:tc>
        <w:tc>
          <w:tcPr>
            <w:tcW w:w="1092" w:type="dxa"/>
          </w:tcPr>
          <w:p w:rsidR="00BA6265" w:rsidRPr="005F703E" w:rsidRDefault="00BA6265" w:rsidP="00660039">
            <w:pPr>
              <w:keepNext/>
              <w:rPr>
                <w:sz w:val="20"/>
                <w:szCs w:val="20"/>
              </w:rPr>
            </w:pPr>
            <w:r w:rsidRPr="005F703E">
              <w:rPr>
                <w:sz w:val="20"/>
                <w:szCs w:val="20"/>
              </w:rPr>
              <w:t>unclear</w:t>
            </w:r>
          </w:p>
        </w:tc>
        <w:tc>
          <w:tcPr>
            <w:tcW w:w="5316" w:type="dxa"/>
            <w:vMerge/>
          </w:tcPr>
          <w:p w:rsidR="00BA6265" w:rsidRPr="00DA4F2D" w:rsidRDefault="00BA6265" w:rsidP="00660039">
            <w:pPr>
              <w:keepNext/>
            </w:pPr>
          </w:p>
        </w:tc>
      </w:tr>
      <w:tr w:rsidR="00BA6265" w:rsidRPr="00DA4F2D" w:rsidTr="0034395B">
        <w:trPr>
          <w:trHeight w:val="450"/>
        </w:trPr>
        <w:tc>
          <w:tcPr>
            <w:tcW w:w="3481" w:type="dxa"/>
            <w:gridSpan w:val="3"/>
          </w:tcPr>
          <w:p w:rsidR="00BA6265" w:rsidRPr="005F703E" w:rsidRDefault="00BA6265" w:rsidP="00D346C7">
            <w:pPr>
              <w:keepNext/>
              <w:rPr>
                <w:sz w:val="20"/>
                <w:szCs w:val="20"/>
              </w:rPr>
            </w:pPr>
            <w:r w:rsidRPr="005F703E">
              <w:rPr>
                <w:sz w:val="20"/>
                <w:szCs w:val="20"/>
              </w:rPr>
              <w:t>baseline measurement</w:t>
            </w:r>
          </w:p>
        </w:tc>
        <w:tc>
          <w:tcPr>
            <w:tcW w:w="1092" w:type="dxa"/>
          </w:tcPr>
          <w:p w:rsidR="00BA6265" w:rsidRPr="005F703E" w:rsidRDefault="00BA6265" w:rsidP="00660039">
            <w:pPr>
              <w:keepNext/>
              <w:rPr>
                <w:sz w:val="20"/>
                <w:szCs w:val="20"/>
              </w:rPr>
            </w:pPr>
            <w:r w:rsidRPr="005F703E">
              <w:rPr>
                <w:sz w:val="20"/>
                <w:szCs w:val="20"/>
              </w:rPr>
              <w:t>yes</w:t>
            </w:r>
          </w:p>
        </w:tc>
        <w:tc>
          <w:tcPr>
            <w:tcW w:w="5316" w:type="dxa"/>
            <w:vMerge/>
          </w:tcPr>
          <w:p w:rsidR="00BA6265" w:rsidRPr="00DA4F2D" w:rsidRDefault="00BA6265" w:rsidP="00660039">
            <w:pPr>
              <w:keepNext/>
            </w:pPr>
          </w:p>
        </w:tc>
      </w:tr>
      <w:tr w:rsidR="00BA6265" w:rsidRPr="00DA4F2D" w:rsidTr="0034395B">
        <w:trPr>
          <w:trHeight w:val="450"/>
        </w:trPr>
        <w:tc>
          <w:tcPr>
            <w:tcW w:w="3481" w:type="dxa"/>
            <w:gridSpan w:val="3"/>
          </w:tcPr>
          <w:p w:rsidR="00BA6265" w:rsidRPr="005F703E" w:rsidRDefault="00BA6265" w:rsidP="00D346C7">
            <w:pPr>
              <w:keepNext/>
              <w:rPr>
                <w:sz w:val="20"/>
                <w:szCs w:val="20"/>
              </w:rPr>
            </w:pPr>
            <w:r w:rsidRPr="005F703E">
              <w:rPr>
                <w:sz w:val="20"/>
                <w:szCs w:val="20"/>
              </w:rPr>
              <w:t>reliable primary outcome measure</w:t>
            </w:r>
          </w:p>
        </w:tc>
        <w:tc>
          <w:tcPr>
            <w:tcW w:w="1092" w:type="dxa"/>
          </w:tcPr>
          <w:p w:rsidR="00BA6265" w:rsidRPr="005F703E" w:rsidRDefault="00BA6265" w:rsidP="00660039">
            <w:pPr>
              <w:keepNext/>
              <w:rPr>
                <w:sz w:val="20"/>
                <w:szCs w:val="20"/>
              </w:rPr>
            </w:pPr>
            <w:r w:rsidRPr="005F703E">
              <w:rPr>
                <w:sz w:val="20"/>
                <w:szCs w:val="20"/>
              </w:rPr>
              <w:t>yes</w:t>
            </w:r>
          </w:p>
        </w:tc>
        <w:tc>
          <w:tcPr>
            <w:tcW w:w="5316" w:type="dxa"/>
            <w:vMerge/>
          </w:tcPr>
          <w:p w:rsidR="00BA6265" w:rsidRPr="00DA4F2D" w:rsidRDefault="00BA6265" w:rsidP="00660039">
            <w:pPr>
              <w:keepNext/>
            </w:pPr>
          </w:p>
        </w:tc>
      </w:tr>
      <w:tr w:rsidR="00BA6265" w:rsidRPr="00DA4F2D" w:rsidTr="0034395B">
        <w:trPr>
          <w:trHeight w:val="450"/>
        </w:trPr>
        <w:tc>
          <w:tcPr>
            <w:tcW w:w="3481" w:type="dxa"/>
            <w:gridSpan w:val="3"/>
          </w:tcPr>
          <w:p w:rsidR="00BA6265" w:rsidRPr="005F703E" w:rsidRDefault="00BA6265" w:rsidP="00D346C7">
            <w:pPr>
              <w:keepNext/>
              <w:rPr>
                <w:sz w:val="20"/>
                <w:szCs w:val="20"/>
              </w:rPr>
            </w:pPr>
            <w:r w:rsidRPr="005F703E">
              <w:rPr>
                <w:sz w:val="20"/>
                <w:szCs w:val="20"/>
              </w:rPr>
              <w:t>protection against contamination</w:t>
            </w:r>
          </w:p>
        </w:tc>
        <w:tc>
          <w:tcPr>
            <w:tcW w:w="1092" w:type="dxa"/>
          </w:tcPr>
          <w:p w:rsidR="00BA6265" w:rsidRPr="005F703E" w:rsidRDefault="00BA6265" w:rsidP="00660039">
            <w:pPr>
              <w:keepNext/>
              <w:rPr>
                <w:sz w:val="20"/>
                <w:szCs w:val="20"/>
              </w:rPr>
            </w:pPr>
            <w:r w:rsidRPr="005F703E">
              <w:rPr>
                <w:sz w:val="20"/>
                <w:szCs w:val="20"/>
              </w:rPr>
              <w:t>unclear</w:t>
            </w:r>
          </w:p>
        </w:tc>
        <w:tc>
          <w:tcPr>
            <w:tcW w:w="5316" w:type="dxa"/>
            <w:vMerge/>
          </w:tcPr>
          <w:p w:rsidR="00BA6265" w:rsidRPr="00DA4F2D" w:rsidRDefault="00BA6265" w:rsidP="00660039">
            <w:pPr>
              <w:keepNext/>
            </w:pPr>
          </w:p>
        </w:tc>
      </w:tr>
    </w:tbl>
    <w:p w:rsidR="00BA6265" w:rsidRPr="0034395B" w:rsidRDefault="00BA6265" w:rsidP="00660039">
      <w:pPr>
        <w:keepNext/>
        <w:autoSpaceDE w:val="0"/>
        <w:autoSpaceDN w:val="0"/>
        <w:adjustRightInd w:val="0"/>
        <w:rPr>
          <w:sz w:val="22"/>
          <w:szCs w:val="22"/>
        </w:rPr>
      </w:pPr>
      <w:r w:rsidRPr="0034395B">
        <w:rPr>
          <w:sz w:val="22"/>
          <w:szCs w:val="22"/>
          <w:vertAlign w:val="superscript"/>
        </w:rPr>
        <w:t>1</w:t>
      </w:r>
      <w:r w:rsidRPr="0034395B">
        <w:rPr>
          <w:sz w:val="22"/>
          <w:szCs w:val="22"/>
        </w:rPr>
        <w:t xml:space="preserve">Risk of Bias. </w:t>
      </w:r>
      <w:r w:rsidRPr="0034395B">
        <w:rPr>
          <w:sz w:val="22"/>
          <w:szCs w:val="22"/>
          <w:vertAlign w:val="superscript"/>
        </w:rPr>
        <w:t>2</w:t>
      </w:r>
      <w:r w:rsidRPr="0034395B">
        <w:rPr>
          <w:sz w:val="22"/>
          <w:szCs w:val="22"/>
        </w:rPr>
        <w:t xml:space="preserve">Low ROB ≥5/6 criteria. </w:t>
      </w:r>
      <w:r w:rsidRPr="0034395B">
        <w:rPr>
          <w:sz w:val="22"/>
          <w:szCs w:val="22"/>
          <w:vertAlign w:val="superscript"/>
        </w:rPr>
        <w:t>3</w:t>
      </w:r>
      <w:r w:rsidRPr="0034395B">
        <w:rPr>
          <w:sz w:val="22"/>
          <w:szCs w:val="22"/>
        </w:rPr>
        <w:t xml:space="preserve">Medium ROB 3-4/6 criteria. </w:t>
      </w:r>
      <w:r w:rsidRPr="0034395B">
        <w:rPr>
          <w:sz w:val="22"/>
          <w:szCs w:val="22"/>
          <w:vertAlign w:val="superscript"/>
        </w:rPr>
        <w:t>4</w:t>
      </w:r>
      <w:r w:rsidRPr="0034395B">
        <w:rPr>
          <w:sz w:val="22"/>
          <w:szCs w:val="22"/>
        </w:rPr>
        <w:t>High ROB &lt; 3 criteria.</w:t>
      </w:r>
    </w:p>
    <w:p w:rsidR="00BA6265" w:rsidRPr="00DA4F2D" w:rsidRDefault="00BA6265" w:rsidP="00660039"/>
    <w:p w:rsidR="00BA6265" w:rsidRDefault="00BA6265" w:rsidP="00660039">
      <w:r w:rsidRPr="00DA4F2D">
        <w:t xml:space="preserve">Adherence to medications or clinic visits was measured at the 80% level. The authors </w:t>
      </w:r>
      <w:r>
        <w:t xml:space="preserve">noted </w:t>
      </w:r>
      <w:r w:rsidRPr="00DA4F2D">
        <w:t>some improvement in “visi</w:t>
      </w:r>
      <w:r>
        <w:t>t” adherence in a sub-group of “</w:t>
      </w:r>
      <w:r w:rsidRPr="00DA4F2D">
        <w:t>non-adherent participants”. Th</w:t>
      </w:r>
      <w:r>
        <w:t xml:space="preserve">e intervention was delivered </w:t>
      </w:r>
      <w:r w:rsidRPr="00DA4F2D">
        <w:t>for 14 months</w:t>
      </w:r>
      <w:r>
        <w:t>.</w:t>
      </w:r>
      <w:r w:rsidRPr="00DA4F2D">
        <w:t xml:space="preserve"> SMS were considered the ideal means of communication with adolescent and young adults based on high usage rates. </w:t>
      </w:r>
      <w:r>
        <w:t>SMS were sent seven</w:t>
      </w:r>
      <w:r w:rsidRPr="00DA4F2D">
        <w:t xml:space="preserve">, </w:t>
      </w:r>
      <w:r>
        <w:t>three and one</w:t>
      </w:r>
      <w:r w:rsidRPr="00DA4F2D">
        <w:t xml:space="preserve"> day/s prior to each scheduled follow-up clinic appointment</w:t>
      </w:r>
      <w:r w:rsidRPr="00EC7332">
        <w:t xml:space="preserve"> </w:t>
      </w:r>
      <w:r>
        <w:t>for</w:t>
      </w:r>
      <w:r w:rsidRPr="00DA4F2D">
        <w:t xml:space="preserve"> the “visit” adherence component of the study. Non-attendance was followed</w:t>
      </w:r>
      <w:r>
        <w:t>-</w:t>
      </w:r>
      <w:r w:rsidRPr="00DA4F2D">
        <w:t>up with a further SMS. These messages were personalised by including the scheduled time of the upcoming clinic appointment. For the medication sub-group component of the study, the SMSs were individualised to match self-reported medication consumption times. SMS messages were worded using SMS vernacular, for example, the message “</w:t>
      </w:r>
      <w:r w:rsidRPr="00DA4F2D">
        <w:rPr>
          <w:i/>
        </w:rPr>
        <w:t>It’s time 4ur meds</w:t>
      </w:r>
      <w:r w:rsidRPr="00DA4F2D">
        <w:t>” was used for twice daily regimens and for daily regiments “</w:t>
      </w:r>
      <w:r w:rsidRPr="00DA4F2D">
        <w:rPr>
          <w:i/>
        </w:rPr>
        <w:t xml:space="preserve">Take </w:t>
      </w:r>
      <w:proofErr w:type="spellStart"/>
      <w:r w:rsidRPr="00DA4F2D">
        <w:rPr>
          <w:i/>
        </w:rPr>
        <w:t>ur</w:t>
      </w:r>
      <w:proofErr w:type="spellEnd"/>
      <w:r w:rsidRPr="00DA4F2D">
        <w:rPr>
          <w:i/>
        </w:rPr>
        <w:t xml:space="preserve"> HCQ now</w:t>
      </w:r>
      <w:r w:rsidRPr="00DA4F2D">
        <w:t xml:space="preserve">” (p 176). There was no difference between patients who received once daily versus twice-daily SMSs. The researchers hypothesised that young patients did not take their SLE medication because the benefits were not instantaneous. </w:t>
      </w:r>
      <w:r>
        <w:t>N</w:t>
      </w:r>
      <w:r w:rsidRPr="00DA4F2D">
        <w:t>ot personalis</w:t>
      </w:r>
      <w:r>
        <w:t xml:space="preserve">ing </w:t>
      </w:r>
      <w:r w:rsidRPr="00DA4F2D">
        <w:t xml:space="preserve">SMS reminders </w:t>
      </w:r>
      <w:r>
        <w:t xml:space="preserve">was perceived by the researchers to be </w:t>
      </w:r>
      <w:r w:rsidRPr="00DA4F2D">
        <w:t xml:space="preserve">a likely a barrier to achieving better adherence. Furthermore, they considered that the novelty of receiving the SMS wore off and constant reminders became repetitive and </w:t>
      </w:r>
      <w:r>
        <w:t>likely</w:t>
      </w:r>
      <w:r w:rsidRPr="00DA4F2D">
        <w:t xml:space="preserve"> ignored by recipients over time. The researchers considered that the relatively small number of participants in their study, short follow-up period and lack of power might have contributed to the lack of observed changes in both visit adherence and medication adherence components of the study.</w:t>
      </w:r>
    </w:p>
    <w:p w:rsidR="00BA6265" w:rsidRPr="00611E43" w:rsidRDefault="00BA6265" w:rsidP="00C96163">
      <w:pPr>
        <w:pStyle w:val="Heading7"/>
      </w:pPr>
      <w:r w:rsidRPr="00611E43">
        <w:t>Overall assessment of the evidence</w:t>
      </w:r>
    </w:p>
    <w:p w:rsidR="00BA6265" w:rsidRDefault="00BA6265" w:rsidP="001659EA">
      <w:r w:rsidRPr="00DA4F2D">
        <w:t>The overall assessment of the evidence was completed base</w:t>
      </w:r>
      <w:r>
        <w:t>d</w:t>
      </w:r>
      <w:r w:rsidRPr="00DA4F2D">
        <w:t xml:space="preserve"> on a recognised grading scale</w:t>
      </w:r>
      <w:r>
        <w:t xml:space="preserve"> </w:t>
      </w:r>
      <w:r w:rsidR="009B5648">
        <w:fldChar w:fldCharType="begin"/>
      </w:r>
      <w:r>
        <w:instrText xml:space="preserve"> ADDIN REFMGR.CITE &lt;Refman&gt;&lt;Cite&gt;&lt;Author&gt;NHMRC&lt;/Author&gt;&lt;Year&gt;2012&lt;/Year&gt;&lt;RecNum&gt;3082&lt;/RecNum&gt;&lt;IDText&gt;NHMRC additional levels of evidence and grades for recommendations for developers of guidelines: PILOT PROGRAM 2005 - 2007&lt;/IDText&gt;&lt;MDL Ref_Type="Electronic Citation"&gt;&lt;Ref_Type&gt;Electronic Citation&lt;/Ref_Type&gt;&lt;Ref_ID&gt;3082&lt;/Ref_ID&gt;&lt;Title_Primary&gt;NHMRC additional levels of evidence and grades for recommendations for developers of guidelines: PILOT PROGRAM 2005 - 2007&lt;/Title_Primary&gt;&lt;Authors_Primary&gt;NHMRC&lt;/Authors_Primary&gt;&lt;Date_Primary&gt;2012&lt;/Date_Primary&gt;&lt;Reprint&gt;Not in File&lt;/Reprint&gt;&lt;Periodical&gt;NHMRC&lt;/Periodical&gt;&lt;Date_Secondary&gt;2012/7/9&lt;/Date_Secondary&gt;&lt;Web_URL_Link1&gt;&lt;u&gt;http://www.nhmrc.gov.au/_files_nhmrc/file/guidelines/levels_grades05.pdf&lt;/u&gt;&lt;/Web_URL_Link1&gt;&lt;ZZ_JournalFull&gt;&lt;f name="System"&gt;NHMRC&lt;/f&gt;&lt;/ZZ_JournalFull&gt;&lt;ZZ_WorkformID&gt;34&lt;/ZZ_WorkformID&gt;&lt;/MDL&gt;&lt;/Cite&gt;&lt;/Refman&gt;</w:instrText>
      </w:r>
      <w:r w:rsidR="009B5648">
        <w:fldChar w:fldCharType="separate"/>
      </w:r>
      <w:r>
        <w:t>[15]</w:t>
      </w:r>
      <w:r w:rsidR="009B5648">
        <w:fldChar w:fldCharType="end"/>
      </w:r>
      <w:r>
        <w:t>.</w:t>
      </w:r>
    </w:p>
    <w:p w:rsidR="00BA6265" w:rsidRDefault="00BA6265" w:rsidP="00660039">
      <w:pPr>
        <w:rPr>
          <w:rFonts w:ascii="Calibri" w:hAnsi="Calibri"/>
          <w:b/>
          <w:bCs/>
          <w:caps/>
          <w:sz w:val="16"/>
          <w:szCs w:val="18"/>
          <w:lang w:val="en-US" w:eastAsia="en-US"/>
        </w:rPr>
      </w:pPr>
    </w:p>
    <w:p w:rsidR="00BA6265" w:rsidRDefault="00BA6265" w:rsidP="00660039">
      <w:r w:rsidRPr="00DA4F2D">
        <w:t>The quality and findings of one strong review</w:t>
      </w:r>
      <w:r>
        <w:t xml:space="preserve"> </w:t>
      </w:r>
      <w:r w:rsidR="009B5648">
        <w:fldChar w:fldCharType="begin"/>
      </w:r>
      <w:r>
        <w:instrText xml:space="preserve"> ADDIN REFMGR.CITE &lt;Refman&gt;&lt;Cite&gt;&lt;Author&gt;Horvath&lt;/Author&gt;&lt;Year&gt;2012&lt;/Year&gt;&lt;RecNum&gt;1&lt;/RecNum&gt;&lt;IDText&gt;Mobile phone text messaging for promoting adherence to antiretroviral therapy in patients with HIV infection&lt;/IDText&gt;&lt;MDL Ref_Type="Journal"&gt;&lt;Ref_Type&gt;Journal&lt;/Ref_Type&gt;&lt;Ref_ID&gt;1&lt;/Ref_ID&gt;&lt;Title_Primary&gt;Mobile phone text messaging for promoting adherence to antiretroviral therapy in patients with HIV infection&lt;/Title_Primary&gt;&lt;Authors_Primary&gt;Horvath,T.&lt;/Authors_Primary&gt;&lt;Authors_Primary&gt;Azman,H.&lt;/Authors_Primary&gt;&lt;Authors_Primary&gt;Kennedy,G.E.&lt;/Authors_Primary&gt;&lt;Authors_Primary&gt;Rutherford,G.W.&lt;/Authors_Primary&gt;&lt;Date_Primary&gt;2012&lt;/Date_Primary&gt;&lt;Reprint&gt;Not in File&lt;/Reprint&gt;&lt;Start_Page&gt;CD009756&lt;/Start_Page&gt;&lt;Periodical&gt;Cochrane.Database.Syst.Rev.&lt;/Periodical&gt;&lt;Volume&gt;3&lt;/Volume&gt;&lt;Address&gt;Global Health Sciences, University of California, San Francisco, 50 Beale Street, Suite 1200, SanFrancisco, California, 94105, USA. thorvath@psg.ucsf.edu&lt;/Address&gt;&lt;Web_URL&gt;PM:22419345&lt;/Web_URL&gt;&lt;ZZ_JournalStdAbbrev&gt;&lt;f name="System"&gt;Cochrane.Database.Syst.Rev.&lt;/f&gt;&lt;/ZZ_JournalStdAbbrev&gt;&lt;ZZ_WorkformID&gt;1&lt;/ZZ_WorkformID&gt;&lt;/MDL&gt;&lt;/Cite&gt;&lt;/Refman&gt;</w:instrText>
      </w:r>
      <w:r w:rsidR="009B5648">
        <w:fldChar w:fldCharType="separate"/>
      </w:r>
      <w:r>
        <w:t>[21]</w:t>
      </w:r>
      <w:r w:rsidR="009B5648">
        <w:fldChar w:fldCharType="end"/>
      </w:r>
      <w:r w:rsidRPr="00DA4F2D">
        <w:t>, one strong study</w:t>
      </w:r>
      <w:r>
        <w:t xml:space="preserve"> </w:t>
      </w:r>
      <w:r w:rsidR="009B5648">
        <w:fldChar w:fldCharType="begin"/>
      </w:r>
      <w:r>
        <w:instrText xml:space="preserve"> ADDIN REFMGR.CITE &lt;Refman&gt;&lt;Cite&gt;&lt;Author&gt;Pop-Eleches&lt;/Author&gt;&lt;Year&gt;2011&lt;/Year&gt;&lt;RecNum&gt;2&lt;/RecNum&gt;&lt;IDText&gt;Mobile phone technologies improve adherence to antiretroviral treatment in a resource-limited setting: a randomized controlled trial of text message reminders&lt;/IDText&gt;&lt;MDL Ref_Type="Journal"&gt;&lt;Ref_Type&gt;Journal&lt;/Ref_Type&gt;&lt;Ref_ID&gt;2&lt;/Ref_ID&gt;&lt;Title_Primary&gt;Mobile phone technologies improve adherence to antiretroviral treatment in a resource-limited setting: a randomized controlled trial of text message reminders&lt;/Title_Primary&gt;&lt;Authors_Primary&gt;Pop-Eleches,C.&lt;/Authors_Primary&gt;&lt;Authors_Primary&gt;Thirumurthy,H.&lt;/Authors_Primary&gt;&lt;Authors_Primary&gt;Habyarimana,J.P.&lt;/Authors_Primary&gt;&lt;Authors_Primary&gt;Zivin,J.G.&lt;/Authors_Primary&gt;&lt;Authors_Primary&gt;Goldstein,M.P.&lt;/Authors_Primary&gt;&lt;Authors_Primary&gt;de,Walque D.&lt;/Authors_Primary&gt;&lt;Authors_Primary&gt;MacKeen,L.&lt;/Authors_Primary&gt;&lt;Authors_Primary&gt;Haberer,J.&lt;/Authors_Primary&gt;&lt;Authors_Primary&gt;Kimaiyo,S.&lt;/Authors_Primary&gt;&lt;Authors_Primary&gt;Sidle,J.&lt;/Authors_Primary&gt;&lt;Authors_Primary&gt;Ngare,D.&lt;/Authors_Primary&gt;&lt;Authors_Primary&gt;Bangsberg,D.R.&lt;/Authors_Primary&gt;&lt;Date_Primary&gt;2011/3/27&lt;/Date_Primary&gt;&lt;Keywords&gt;Adult&lt;/Keywords&gt;&lt;Keywords&gt;Anti-Retroviral Agents&lt;/Keywords&gt;&lt;Keywords&gt;Cellular Phone&lt;/Keywords&gt;&lt;Keywords&gt;drug therapy&lt;/Keywords&gt;&lt;Keywords&gt;Female&lt;/Keywords&gt;&lt;Keywords&gt;Health Services Accessibility&lt;/Keywords&gt;&lt;Keywords&gt;HIV Infections&lt;/Keywords&gt;&lt;Keywords&gt;Humans&lt;/Keywords&gt;&lt;Keywords&gt;instrumentation&lt;/Keywords&gt;&lt;Keywords&gt;Kenya&lt;/Keywords&gt;&lt;Keywords&gt;Male&lt;/Keywords&gt;&lt;Keywords&gt;Patient Compliance&lt;/Keywords&gt;&lt;Keywords&gt;Reminder Systems&lt;/Keywords&gt;&lt;Keywords&gt;Rural Health&lt;/Keywords&gt;&lt;Keywords&gt;standards&lt;/Keywords&gt;&lt;Keywords&gt;therapeutic use&lt;/Keywords&gt;&lt;Reprint&gt;Not in File&lt;/Reprint&gt;&lt;Start_Page&gt;825&lt;/Start_Page&gt;&lt;End_Page&gt;834&lt;/End_Page&gt;&lt;Periodical&gt;AIDS&lt;/Periodical&gt;&lt;Volume&gt;25&lt;/Volume&gt;&lt;Issue&gt;6&lt;/Issue&gt;&lt;Address&gt;School of International and Public Affairs, Columbia University, New York, New York, USA&lt;/Address&gt;&lt;Web_URL&gt;PM:21252632&lt;/Web_URL&gt;&lt;ZZ_JournalStdAbbrev&gt;&lt;f name="System"&gt;AIDS&lt;/f&gt;&lt;/ZZ_JournalStdAbbrev&gt;&lt;ZZ_WorkformID&gt;1&lt;/ZZ_WorkformID&gt;&lt;/MDL&gt;&lt;/Cite&gt;&lt;/Refman&gt;</w:instrText>
      </w:r>
      <w:r w:rsidR="009B5648">
        <w:fldChar w:fldCharType="separate"/>
      </w:r>
      <w:r>
        <w:t>[17]</w:t>
      </w:r>
      <w:r w:rsidR="009B5648">
        <w:fldChar w:fldCharType="end"/>
      </w:r>
      <w:r w:rsidRPr="00DA4F2D">
        <w:t xml:space="preserve">, </w:t>
      </w:r>
      <w:r>
        <w:t>three</w:t>
      </w:r>
      <w:r w:rsidRPr="00DA4F2D">
        <w:t xml:space="preserve"> moderate studies</w:t>
      </w:r>
      <w:r>
        <w:t xml:space="preserve"> </w:t>
      </w:r>
      <w:r w:rsidR="009B5648">
        <w:fldChar w:fldCharType="begin"/>
      </w:r>
      <w:r>
        <w:instrText xml:space="preserve"> ADDIN REFMGR.CITE &lt;Refman&gt;&lt;Cite&gt;&lt;Author&gt;Sharma&lt;/Author&gt;&lt;Year&gt;2011&lt;/Year&gt;&lt;RecNum&gt;3&lt;/RecNum&gt;&lt;IDText&gt;Mobile-phone text messaging (SMS) for providing oral health education to mothers of preschool children in Belgaum City&lt;/IDText&gt;&lt;MDL Ref_Type="Journal"&gt;&lt;Ref_Type&gt;Journal&lt;/Ref_Type&gt;&lt;Ref_ID&gt;3&lt;/Ref_ID&gt;&lt;Title_Primary&gt;Mobile-phone text messaging (SMS) for providing oral health education to mothers of preschool children in Belgaum City&lt;/Title_Primary&gt;&lt;Authors_Primary&gt;Sharma,R.&lt;/Authors_Primary&gt;&lt;Authors_Primary&gt;Hebbal,M.&lt;/Authors_Primary&gt;&lt;Authors_Primary&gt;Ankola,A.V.&lt;/Authors_Primary&gt;&lt;Authors_Primary&gt;Murugabupathy,V.&lt;/Authors_Primary&gt;&lt;Date_Primary&gt;2011&lt;/Date_Primary&gt;&lt;Keywords&gt;Analysis of Variance&lt;/Keywords&gt;&lt;Keywords&gt;Child,Preschool&lt;/Keywords&gt;&lt;Keywords&gt;Dental Plaque&lt;/Keywords&gt;&lt;Keywords&gt;Dental Plaque Index&lt;/Keywords&gt;&lt;Keywords&gt;education&lt;/Keywords&gt;&lt;Keywords&gt;Female&lt;/Keywords&gt;&lt;Keywords&gt;Health Education,Dental&lt;/Keywords&gt;&lt;Keywords&gt;Health Knowledge,Attitudes,Practice&lt;/Keywords&gt;&lt;Keywords&gt;Humans&lt;/Keywords&gt;&lt;Keywords&gt;India&lt;/Keywords&gt;&lt;Keywords&gt;Infant&lt;/Keywords&gt;&lt;Keywords&gt;Male&lt;/Keywords&gt;&lt;Keywords&gt;methods&lt;/Keywords&gt;&lt;Keywords&gt;Mothers&lt;/Keywords&gt;&lt;Keywords&gt;Pamphlets&lt;/Keywords&gt;&lt;Keywords&gt;prevention &amp;amp; control&lt;/Keywords&gt;&lt;Keywords&gt;Questionnaires&lt;/Keywords&gt;&lt;Keywords&gt;Text Messaging&lt;/Keywords&gt;&lt;Keywords&gt;Urban Population&lt;/Keywords&gt;&lt;Reprint&gt;Not in File&lt;/Reprint&gt;&lt;Start_Page&gt;432&lt;/Start_Page&gt;&lt;End_Page&gt;436&lt;/End_Page&gt;&lt;Periodical&gt;J.Telemed.Telecare.&lt;/Periodical&gt;&lt;Volume&gt;17&lt;/Volume&gt;&lt;Issue&gt;8&lt;/Issue&gt;&lt;Address&gt;KLE VK Institute of Dental Sciences, KLE University, Belgaum, India. ratika2808@gmail.com&lt;/Address&gt;&lt;Web_URL&gt;PM:22025742&lt;/Web_URL&gt;&lt;ZZ_JournalStdAbbrev&gt;&lt;f name="System"&gt;J.Telemed.Telecare.&lt;/f&gt;&lt;/ZZ_JournalStdAbbrev&gt;&lt;ZZ_WorkformID&gt;1&lt;/ZZ_WorkformID&gt;&lt;/MDL&gt;&lt;/Cite&gt;&lt;Cite&gt;&lt;Author&gt;Strandbygaard&lt;/Author&gt;&lt;Year&gt;2010&lt;/Year&gt;&lt;RecNum&gt;4&lt;/RecNum&gt;&lt;IDText&gt;A daily SMS reminder increases adherence to asthma treatment: a three-month follow-up study&lt;/IDText&gt;&lt;MDL Ref_Type="Journal"&gt;&lt;Ref_Type&gt;Journal&lt;/Ref_Type&gt;&lt;Ref_ID&gt;4&lt;/Ref_ID&gt;&lt;Title_Primary&gt;A daily SMS reminder increases adherence to asthma treatment: a three-month follow-up study&lt;/Title_Primary&gt;&lt;Authors_Primary&gt;Strandbygaard,U.&lt;/Authors_Primary&gt;&lt;Authors_Primary&gt;Thomsen,S.F.&lt;/Authors_Primary&gt;&lt;Authors_Primary&gt;Backer,V.&lt;/Authors_Primary&gt;&lt;Date_Primary&gt;2010/2&lt;/Date_Primary&gt;&lt;Keywords&gt;Adolescent&lt;/Keywords&gt;&lt;Keywords&gt;Adult&lt;/Keywords&gt;&lt;Keywords&gt;Anti-Asthmatic Agents&lt;/Keywords&gt;&lt;Keywords&gt;Asthma&lt;/Keywords&gt;&lt;Keywords&gt;Cellular Phone&lt;/Keywords&gt;&lt;Keywords&gt;drug therapy&lt;/Keywords&gt;&lt;Keywords&gt;Female&lt;/Keywords&gt;&lt;Keywords&gt;Follow-Up Studies&lt;/Keywords&gt;&lt;Keywords&gt;Humans&lt;/Keywords&gt;&lt;Keywords&gt;Male&lt;/Keywords&gt;&lt;Keywords&gt;Medication Adherence&lt;/Keywords&gt;&lt;Keywords&gt;methods&lt;/Keywords&gt;&lt;Keywords&gt;Middle Aged&lt;/Keywords&gt;&lt;Keywords&gt;psychology&lt;/Keywords&gt;&lt;Keywords&gt;Reminder Systems&lt;/Keywords&gt;&lt;Keywords&gt;Respiratory Function Tests&lt;/Keywords&gt;&lt;Keywords&gt;statistics &amp;amp; numerical data&lt;/Keywords&gt;&lt;Keywords&gt;therapeutic use&lt;/Keywords&gt;&lt;Keywords&gt;Treatment Outcome&lt;/Keywords&gt;&lt;Keywords&gt;Young Adult&lt;/Keywords&gt;&lt;Reprint&gt;Not in File&lt;/Reprint&gt;&lt;Start_Page&gt;166&lt;/Start_Page&gt;&lt;End_Page&gt;171&lt;/End_Page&gt;&lt;Periodical&gt;Respir.Med.&lt;/Periodical&gt;&lt;Volume&gt;104&lt;/Volume&gt;&lt;Issue&gt;2&lt;/Issue&gt;&lt;Address&gt;Department of Respiratory Medicine, Bispebjerg Hospital, Copenhagen NV, Denmark&lt;/Address&gt;&lt;Web_URL&gt;PM:19854632&lt;/Web_URL&gt;&lt;ZZ_JournalStdAbbrev&gt;&lt;f name="System"&gt;Respir.Med.&lt;/f&gt;&lt;/ZZ_JournalStdAbbrev&gt;&lt;ZZ_WorkformID&gt;1&lt;/ZZ_WorkformID&gt;&lt;/MDL&gt;&lt;/Cite&gt;&lt;Cite&gt;&lt;Author&gt;da Costa&lt;/Author&gt;&lt;Year&gt;2012&lt;/Year&gt;&lt;RecNum&gt;3090&lt;/RecNum&gt;&lt;IDText&gt;Results of a randomized controlled trial to assess the effects of a mobile SMS-based intervention on treatment adherence in HIV/AIDS-infected Brazilian women and impressions and satisfaction with respect to incoming messages&lt;/IDText&gt;&lt;MDL Ref_Type="Journal"&gt;&lt;Ref_Type&gt;Journal&lt;/Ref_Type&gt;&lt;Ref_ID&gt;3090&lt;/Ref_ID&gt;&lt;Title_Primary&gt;Results of a randomized controlled trial to assess the effects of a mobile SMS-based intervention on treatment adherence in HIV/AIDS-infected Brazilian women and impressions and satisfaction with respect to incoming messages&lt;/Title_Primary&gt;&lt;Authors_Primary&gt;da Costa,T.M.&lt;/Authors_Primary&gt;&lt;Authors_Primary&gt;Barbosa,B.J.&lt;/Authors_Primary&gt;&lt;Authors_Primary&gt;Gomes e Costa DA&lt;/Authors_Primary&gt;&lt;Authors_Primary&gt;Sigulem,D.&lt;/Authors_Primary&gt;&lt;Authors_Primary&gt;de Fatima,Marin H.&lt;/Authors_Primary&gt;&lt;Authors_Primary&gt;Filho,A.C.&lt;/Authors_Primary&gt;&lt;Authors_Primary&gt;Pisa,I.T.&lt;/Authors_Primary&gt;&lt;Date_Primary&gt;2012/4&lt;/Date_Primary&gt;&lt;Keywords&gt;Acquired Immunodeficiency Syndrome&lt;/Keywords&gt;&lt;Keywords&gt;administration &amp;amp; dosage&lt;/Keywords&gt;&lt;Keywords&gt;Adult&lt;/Keywords&gt;&lt;Keywords&gt;Anti-HIV Agents&lt;/Keywords&gt;&lt;Keywords&gt;Brazil&lt;/Keywords&gt;&lt;Keywords&gt;Case-Control Studies&lt;/Keywords&gt;&lt;Keywords&gt;drug therapy&lt;/Keywords&gt;&lt;Keywords&gt;Female&lt;/Keywords&gt;&lt;Keywords&gt;Health&lt;/Keywords&gt;&lt;Keywords&gt;Health Behavior&lt;/Keywords&gt;&lt;Keywords&gt;Health Services Accessibility&lt;/Keywords&gt;&lt;Keywords&gt;HIV Infections&lt;/Keywords&gt;&lt;Keywords&gt;Hiv-1&lt;/Keywords&gt;&lt;Keywords&gt;Humans&lt;/Keywords&gt;&lt;Keywords&gt;Medication Adherence&lt;/Keywords&gt;&lt;Keywords&gt;pathogenicity&lt;/Keywords&gt;&lt;Keywords&gt;Patient Compliance&lt;/Keywords&gt;&lt;Keywords&gt;Persuasive Communication&lt;/Keywords&gt;&lt;Keywords&gt;Reminder Systems&lt;/Keywords&gt;&lt;Keywords&gt;Research&lt;/Keywords&gt;&lt;Keywords&gt;standards&lt;/Keywords&gt;&lt;Keywords&gt;Text Messaging&lt;/Keywords&gt;&lt;Keywords&gt;therapy&lt;/Keywords&gt;&lt;Keywords&gt;Treatment Outcome&lt;/Keywords&gt;&lt;Reprint&gt;Not in File&lt;/Reprint&gt;&lt;Start_Page&gt;257&lt;/Start_Page&gt;&lt;End_Page&gt;269&lt;/End_Page&gt;&lt;Periodical&gt;Int.J.Med.Inform.&lt;/Periodical&gt;&lt;Volume&gt;81&lt;/Volume&gt;&lt;Issue&gt;4&lt;/Issue&gt;&lt;Address&gt;Health Informatics Postgraduate Program, Universidade Federal de Sao Paulo (UNIFESP), Sao Paulo, SP, Brazil. tmartinicosta@gmail.com&lt;/Address&gt;&lt;Web_URL&gt;PM:22296762&lt;/Web_URL&gt;&lt;ZZ_JournalStdAbbrev&gt;&lt;f name="System"&gt;Int.J.Med.Inform.&lt;/f&gt;&lt;/ZZ_JournalStdAbbrev&gt;&lt;ZZ_WorkformID&gt;1&lt;/ZZ_WorkformID&gt;&lt;/MDL&gt;&lt;/Cite&gt;&lt;/Refman&gt;</w:instrText>
      </w:r>
      <w:r w:rsidR="009B5648">
        <w:fldChar w:fldCharType="separate"/>
      </w:r>
      <w:r>
        <w:t>[16, 18,19]</w:t>
      </w:r>
      <w:r w:rsidR="009B5648">
        <w:fldChar w:fldCharType="end"/>
      </w:r>
      <w:r w:rsidRPr="00DA4F2D">
        <w:t xml:space="preserve"> and one weak study</w:t>
      </w:r>
      <w:r>
        <w:t xml:space="preserve"> </w:t>
      </w:r>
      <w:r w:rsidR="009B5648">
        <w:fldChar w:fldCharType="begin"/>
      </w:r>
      <w:r>
        <w:instrText xml:space="preserve"> ADDIN REFMGR.CITE &lt;Refman&gt;&lt;Cite&gt;&lt;Author&gt;Ting&lt;/Author&gt;&lt;Year&gt;2012&lt;/Year&gt;&lt;RecNum&gt;5&lt;/RecNum&gt;&lt;IDText&gt;Usefulness of cellular text messaging for improving adherence among adolescents and young adults with systemic lupus erythematosus&lt;/IDText&gt;&lt;MDL Ref_Type="Journal"&gt;&lt;Ref_Type&gt;Journal&lt;/Ref_Type&gt;&lt;Ref_ID&gt;5&lt;/Ref_ID&gt;&lt;Title_Primary&gt;Usefulness of cellular text messaging for improving adherence among adolescents and young adults with systemic lupus erythematosus&lt;/Title_Primary&gt;&lt;Authors_Primary&gt;Ting,T.V.&lt;/Authors_Primary&gt;&lt;Authors_Primary&gt;Kudalkar,D.&lt;/Authors_Primary&gt;&lt;Authors_Primary&gt;Nelson,S.&lt;/Authors_Primary&gt;&lt;Authors_Primary&gt;Cortina,S.&lt;/Authors_Primary&gt;&lt;Authors_Primary&gt;Pendl,J.&lt;/Authors_Primary&gt;&lt;Authors_Primary&gt;Budhani,S.&lt;/Authors_Primary&gt;&lt;Authors_Primary&gt;Neville,J.&lt;/Authors_Primary&gt;&lt;Authors_Primary&gt;Taylor,J.&lt;/Authors_Primary&gt;&lt;Authors_Primary&gt;Huggins,J.&lt;/Authors_Primary&gt;&lt;Authors_Primary&gt;Drotar,D.&lt;/Authors_Primary&gt;&lt;Authors_Primary&gt;Brunner,H.I.&lt;/Authors_Primary&gt;&lt;Date_Primary&gt;2012/1&lt;/Date_Primary&gt;&lt;Keywords&gt;Adolescent&lt;/Keywords&gt;&lt;Keywords&gt;Adult&lt;/Keywords&gt;&lt;Keywords&gt;Ambulatory Care Facilities&lt;/Keywords&gt;&lt;Keywords&gt;Antirheumatic Agents&lt;/Keywords&gt;&lt;Keywords&gt;blood&lt;/Keywords&gt;&lt;Keywords&gt;drug therapy&lt;/Keywords&gt;&lt;Keywords&gt;education&lt;/Keywords&gt;&lt;Keywords&gt;Female&lt;/Keywords&gt;&lt;Keywords&gt;Humans&lt;/Keywords&gt;&lt;Keywords&gt;Hydroxychloroquine&lt;/Keywords&gt;&lt;Keywords&gt;Lupus Erythematosus,Systemic&lt;/Keywords&gt;&lt;Keywords&gt;Male&lt;/Keywords&gt;&lt;Keywords&gt;Medication Adherence&lt;/Keywords&gt;&lt;Keywords&gt;methods&lt;/Keywords&gt;&lt;Keywords&gt;Patient Compliance&lt;/Keywords&gt;&lt;Keywords&gt;physiopathology&lt;/Keywords&gt;&lt;Keywords&gt;Questionnaires&lt;/Keywords&gt;&lt;Keywords&gt;Text Messaging&lt;/Keywords&gt;&lt;Keywords&gt;therapeutic use&lt;/Keywords&gt;&lt;Keywords&gt;Young Adult&lt;/Keywords&gt;&lt;Reprint&gt;Not in File&lt;/Reprint&gt;&lt;Start_Page&gt;174&lt;/Start_Page&gt;&lt;End_Page&gt;179&lt;/End_Page&gt;&lt;Periodical&gt;J.Rheumatol.&lt;/Periodical&gt;&lt;Volume&gt;39&lt;/Volume&gt;&lt;Issue&gt;1&lt;/Issue&gt;&lt;Address&gt;Cincinnati Children&amp;apos;s Hospital Medical Center, William Rowe Division of Rheumatology, MLC 4010, 3333 Burnet Avenue, Cincinnati, OH 45229-3039, USA. tracy.ting@cchmc.org&lt;/Address&gt;&lt;Web_URL&gt;PM:22089460&lt;/Web_URL&gt;&lt;ZZ_JournalStdAbbrev&gt;&lt;f name="System"&gt;J.Rheumatol.&lt;/f&gt;&lt;/ZZ_JournalStdAbbrev&gt;&lt;ZZ_WorkformID&gt;1&lt;/ZZ_WorkformID&gt;&lt;/MDL&gt;&lt;/Cite&gt;&lt;/Refman&gt;</w:instrText>
      </w:r>
      <w:r w:rsidR="009B5648">
        <w:fldChar w:fldCharType="separate"/>
      </w:r>
      <w:r>
        <w:t>[20]</w:t>
      </w:r>
      <w:r w:rsidR="009B5648">
        <w:fldChar w:fldCharType="end"/>
      </w:r>
      <w:r w:rsidRPr="00DA4F2D">
        <w:t xml:space="preserve"> were considered in this assessment of the evidence. The</w:t>
      </w:r>
      <w:r>
        <w:t>re</w:t>
      </w:r>
      <w:r w:rsidRPr="00DA4F2D">
        <w:t xml:space="preserve"> </w:t>
      </w:r>
      <w:r>
        <w:t xml:space="preserve">was </w:t>
      </w:r>
      <w:r w:rsidRPr="00DA4F2D">
        <w:t xml:space="preserve">variability in the </w:t>
      </w:r>
      <w:r>
        <w:t xml:space="preserve">risk of bias associated with the methods used, </w:t>
      </w:r>
      <w:r w:rsidRPr="00DA4F2D">
        <w:t xml:space="preserve">study contexts, implementation processes, </w:t>
      </w:r>
      <w:r>
        <w:t xml:space="preserve">and </w:t>
      </w:r>
      <w:r w:rsidRPr="00DA4F2D">
        <w:t>characteristics of study participants</w:t>
      </w:r>
      <w:r>
        <w:t xml:space="preserve">.  Despite this, </w:t>
      </w:r>
      <w:r w:rsidRPr="00DA4F2D">
        <w:t xml:space="preserve">the body of evidence </w:t>
      </w:r>
      <w:r>
        <w:t xml:space="preserve">does </w:t>
      </w:r>
      <w:r w:rsidRPr="00DA4F2D">
        <w:t xml:space="preserve">provide some support that regular SMS messaging </w:t>
      </w:r>
      <w:r>
        <w:t>(</w:t>
      </w:r>
      <w:r w:rsidRPr="00DA4F2D">
        <w:t>sent via mobile phones to persons who have conditions that require daily therapy and ongoing medical follow-up to improve adherence</w:t>
      </w:r>
      <w:r>
        <w:t>)</w:t>
      </w:r>
      <w:r w:rsidRPr="00DA4F2D">
        <w:t xml:space="preserve"> is effective</w:t>
      </w:r>
      <w:r>
        <w:t xml:space="preserve">.  However, </w:t>
      </w:r>
      <w:r w:rsidRPr="00DA4F2D">
        <w:t>care should be taken in its application.</w:t>
      </w:r>
    </w:p>
    <w:p w:rsidR="00BA6265" w:rsidRPr="00DA4F2D" w:rsidRDefault="00BA6265" w:rsidP="00660039"/>
    <w:p w:rsidR="00BA6265" w:rsidRDefault="00BA6265" w:rsidP="00660039">
      <w:r w:rsidRPr="00DA4F2D">
        <w:lastRenderedPageBreak/>
        <w:t>The potential for mobile phone technology to make an impact on health has been popularised in the literature and lay press. A large number of studies have been conducted utilizing some form of mobile phone technology as an intervention to promote adherence</w:t>
      </w:r>
      <w:r>
        <w:t>.  F</w:t>
      </w:r>
      <w:r w:rsidRPr="00DA4F2D">
        <w:t>ew met the eligibility criteria for this review. It is clear from the research evidence (and other literature) that other factors need to be considered in assessing the evidence. Factors that can modify the impact of a SMS intervention include:</w:t>
      </w:r>
    </w:p>
    <w:p w:rsidR="00BA6265" w:rsidRPr="00DA4F2D" w:rsidRDefault="00BA6265" w:rsidP="00660039"/>
    <w:p w:rsidR="00BA6265" w:rsidRPr="00DA4F2D" w:rsidRDefault="00BA6265" w:rsidP="00B810C5">
      <w:pPr>
        <w:numPr>
          <w:ilvl w:val="0"/>
          <w:numId w:val="9"/>
        </w:numPr>
        <w:tabs>
          <w:tab w:val="clear" w:pos="720"/>
          <w:tab w:val="num" w:pos="1134"/>
        </w:tabs>
        <w:spacing w:before="120"/>
        <w:ind w:left="1134" w:hanging="708"/>
      </w:pPr>
      <w:r>
        <w:t>S</w:t>
      </w:r>
      <w:r w:rsidRPr="00DA4F2D">
        <w:t>trength of the existing relationship with the health service provider;</w:t>
      </w:r>
    </w:p>
    <w:p w:rsidR="00BA6265" w:rsidRPr="00DA4F2D" w:rsidRDefault="00BA6265" w:rsidP="00B810C5">
      <w:pPr>
        <w:numPr>
          <w:ilvl w:val="0"/>
          <w:numId w:val="9"/>
        </w:numPr>
        <w:tabs>
          <w:tab w:val="clear" w:pos="720"/>
          <w:tab w:val="num" w:pos="1134"/>
        </w:tabs>
        <w:spacing w:before="120"/>
        <w:ind w:left="1134" w:hanging="708"/>
      </w:pPr>
      <w:r>
        <w:t>R</w:t>
      </w:r>
      <w:r w:rsidRPr="00DA4F2D">
        <w:t xml:space="preserve">ecipient characteristics, for example - socio-economic status, level of literacy, age, gender, diagnosis, parent of child with chronic illness. It is important to know what barriers individuals or populations are facing in trying to adhere to treatment and to attend for follow-up. </w:t>
      </w:r>
    </w:p>
    <w:p w:rsidR="00BA6265" w:rsidRPr="00DA4F2D" w:rsidRDefault="00BA6265" w:rsidP="00B810C5">
      <w:pPr>
        <w:numPr>
          <w:ilvl w:val="0"/>
          <w:numId w:val="9"/>
        </w:numPr>
        <w:tabs>
          <w:tab w:val="clear" w:pos="720"/>
          <w:tab w:val="num" w:pos="1134"/>
        </w:tabs>
        <w:spacing w:before="120"/>
        <w:ind w:left="1134" w:hanging="708"/>
      </w:pPr>
      <w:r>
        <w:t>C</w:t>
      </w:r>
      <w:r w:rsidRPr="00DA4F2D">
        <w:t>haracteristics of the message including:</w:t>
      </w:r>
    </w:p>
    <w:p w:rsidR="00BA6265" w:rsidRPr="00DA4F2D" w:rsidRDefault="00BA6265" w:rsidP="00F46BDF">
      <w:pPr>
        <w:numPr>
          <w:ilvl w:val="1"/>
          <w:numId w:val="9"/>
        </w:numPr>
        <w:tabs>
          <w:tab w:val="clear" w:pos="1440"/>
          <w:tab w:val="num" w:pos="1843"/>
        </w:tabs>
        <w:ind w:left="1843" w:hanging="567"/>
      </w:pPr>
      <w:r>
        <w:t>A</w:t>
      </w:r>
      <w:r w:rsidRPr="00DA4F2D">
        <w:t xml:space="preserve">cceptability and relevance of message content </w:t>
      </w:r>
    </w:p>
    <w:p w:rsidR="00BA6265" w:rsidRPr="00DA4F2D" w:rsidRDefault="00BA6265" w:rsidP="00F46BDF">
      <w:pPr>
        <w:numPr>
          <w:ilvl w:val="1"/>
          <w:numId w:val="9"/>
        </w:numPr>
        <w:tabs>
          <w:tab w:val="clear" w:pos="1440"/>
          <w:tab w:val="num" w:pos="1843"/>
        </w:tabs>
        <w:ind w:left="1843" w:hanging="567"/>
      </w:pPr>
      <w:r>
        <w:t>M</w:t>
      </w:r>
      <w:r w:rsidRPr="00DA4F2D">
        <w:t>essage length (short verses long)</w:t>
      </w:r>
    </w:p>
    <w:p w:rsidR="00BA6265" w:rsidRPr="00DA4F2D" w:rsidRDefault="00BA6265" w:rsidP="00F46BDF">
      <w:pPr>
        <w:numPr>
          <w:ilvl w:val="1"/>
          <w:numId w:val="9"/>
        </w:numPr>
        <w:tabs>
          <w:tab w:val="clear" w:pos="1440"/>
          <w:tab w:val="num" w:pos="1843"/>
        </w:tabs>
        <w:ind w:left="1843" w:hanging="567"/>
      </w:pPr>
      <w:r>
        <w:t>F</w:t>
      </w:r>
      <w:r w:rsidRPr="00DA4F2D">
        <w:t>requency of broadcast and time of receipt</w:t>
      </w:r>
      <w:r>
        <w:t>;</w:t>
      </w:r>
    </w:p>
    <w:p w:rsidR="00BA6265" w:rsidRPr="00DA4F2D" w:rsidRDefault="00BA6265" w:rsidP="00B810C5">
      <w:pPr>
        <w:numPr>
          <w:ilvl w:val="0"/>
          <w:numId w:val="9"/>
        </w:numPr>
        <w:tabs>
          <w:tab w:val="clear" w:pos="720"/>
          <w:tab w:val="num" w:pos="1134"/>
        </w:tabs>
        <w:spacing w:before="120"/>
        <w:ind w:left="1134" w:hanging="708"/>
      </w:pPr>
      <w:r>
        <w:t>M</w:t>
      </w:r>
      <w:r w:rsidRPr="00DA4F2D">
        <w:t>essages being personalised or generic;</w:t>
      </w:r>
    </w:p>
    <w:p w:rsidR="00BA6265" w:rsidRPr="00DA4F2D" w:rsidRDefault="00BA6265" w:rsidP="00F46BDF">
      <w:pPr>
        <w:numPr>
          <w:ilvl w:val="1"/>
          <w:numId w:val="9"/>
        </w:numPr>
        <w:tabs>
          <w:tab w:val="clear" w:pos="1440"/>
          <w:tab w:val="num" w:pos="1843"/>
        </w:tabs>
        <w:ind w:left="1843" w:hanging="567"/>
      </w:pPr>
      <w:r>
        <w:t>D</w:t>
      </w:r>
      <w:r w:rsidRPr="00DA4F2D">
        <w:t>uration of program and development of tolerance (SMS ignored) or habituation creating dependence;</w:t>
      </w:r>
    </w:p>
    <w:p w:rsidR="00BA6265" w:rsidRPr="00DA4F2D" w:rsidRDefault="00BA6265" w:rsidP="00B810C5">
      <w:pPr>
        <w:numPr>
          <w:ilvl w:val="0"/>
          <w:numId w:val="9"/>
        </w:numPr>
        <w:tabs>
          <w:tab w:val="clear" w:pos="720"/>
          <w:tab w:val="num" w:pos="1134"/>
        </w:tabs>
        <w:spacing w:before="120"/>
        <w:ind w:left="1134" w:hanging="708"/>
      </w:pPr>
      <w:r>
        <w:t>A</w:t>
      </w:r>
      <w:r w:rsidRPr="00DA4F2D">
        <w:t xml:space="preserve"> two-way communication system that allows patients to contact health services between appointments;</w:t>
      </w:r>
    </w:p>
    <w:p w:rsidR="00BA6265" w:rsidRPr="00DA4F2D" w:rsidRDefault="00BA6265" w:rsidP="00B810C5">
      <w:pPr>
        <w:numPr>
          <w:ilvl w:val="0"/>
          <w:numId w:val="9"/>
        </w:numPr>
        <w:tabs>
          <w:tab w:val="clear" w:pos="720"/>
          <w:tab w:val="num" w:pos="1134"/>
        </w:tabs>
        <w:spacing w:before="120"/>
        <w:ind w:left="1134" w:hanging="708"/>
      </w:pPr>
      <w:r>
        <w:t>P</w:t>
      </w:r>
      <w:r w:rsidRPr="00DA4F2D">
        <w:t>urpose of message (for example – message is intended to remind, educ</w:t>
      </w:r>
      <w:r>
        <w:t>ate, motivate, raise awareness);</w:t>
      </w:r>
    </w:p>
    <w:p w:rsidR="00BA6265" w:rsidRPr="00DA4F2D" w:rsidRDefault="00BA6265" w:rsidP="00B810C5">
      <w:pPr>
        <w:numPr>
          <w:ilvl w:val="0"/>
          <w:numId w:val="9"/>
        </w:numPr>
        <w:tabs>
          <w:tab w:val="clear" w:pos="720"/>
          <w:tab w:val="num" w:pos="1134"/>
        </w:tabs>
        <w:spacing w:before="120"/>
        <w:ind w:left="1134" w:hanging="708"/>
      </w:pPr>
      <w:r>
        <w:t>L</w:t>
      </w:r>
      <w:r w:rsidRPr="00DA4F2D">
        <w:t>evel of relia</w:t>
      </w:r>
      <w:r>
        <w:t>bility of supporting technology.</w:t>
      </w:r>
    </w:p>
    <w:p w:rsidR="00BA6265" w:rsidRPr="00DA4F2D" w:rsidRDefault="00BA6265" w:rsidP="00660039">
      <w:pPr>
        <w:ind w:left="360"/>
      </w:pPr>
    </w:p>
    <w:p w:rsidR="00BA6265" w:rsidRPr="00DA4F2D" w:rsidRDefault="00BA6265" w:rsidP="00660039">
      <w:r w:rsidRPr="00DA4F2D">
        <w:t>SMS messaging to promote adherence or attendance for follow-up represents one component of a multifaceted medical management plan. Therefore, it is important that message recipients value and trust the health system of which they are a part</w:t>
      </w:r>
      <w:r>
        <w:t>, also</w:t>
      </w:r>
      <w:r w:rsidRPr="00DA4F2D">
        <w:t xml:space="preserve"> </w:t>
      </w:r>
      <w:r>
        <w:t xml:space="preserve">that they </w:t>
      </w:r>
      <w:r w:rsidRPr="00DA4F2D">
        <w:t xml:space="preserve">believe their own or their child’s welfare is the prime reason for </w:t>
      </w:r>
      <w:r>
        <w:t xml:space="preserve">receiving the </w:t>
      </w:r>
      <w:r w:rsidRPr="00DA4F2D">
        <w:t>messages</w:t>
      </w:r>
      <w:r>
        <w:t>.</w:t>
      </w:r>
      <w:r w:rsidRPr="00DA4F2D">
        <w:rPr>
          <w:color w:val="FF0000"/>
        </w:rPr>
        <w:t xml:space="preserve"> </w:t>
      </w:r>
      <w:r w:rsidRPr="00DA4F2D">
        <w:t xml:space="preserve">High levels of non-adherence and non-attendance are likely to prevail if patients find health workers or the health system not </w:t>
      </w:r>
      <w:r>
        <w:t xml:space="preserve">to be </w:t>
      </w:r>
      <w:r w:rsidRPr="00DA4F2D">
        <w:t>empathetic and supportive</w:t>
      </w:r>
      <w:r>
        <w:t xml:space="preserve"> </w:t>
      </w:r>
      <w:r w:rsidR="009B5648">
        <w:fldChar w:fldCharType="begin"/>
      </w:r>
      <w:r>
        <w:instrText xml:space="preserve"> ADDIN REFMGR.CITE &lt;Refman&gt;&lt;Cite&gt;&lt;Author&gt;Otero&lt;/Author&gt;&lt;Year&gt;2000&lt;/Year&gt;&lt;RecNum&gt;8&lt;/RecNum&gt;&lt;IDText&gt;Maternal expressed emotion and treatment compliance of children with epilepsy&lt;/IDText&gt;&lt;MDL Ref_Type="Journal"&gt;&lt;Ref_Type&gt;Journal&lt;/Ref_Type&gt;&lt;Ref_ID&gt;8&lt;/Ref_ID&gt;&lt;Title_Primary&gt;Maternal expressed emotion and treatment compliance of children with epilepsy&lt;/Title_Primary&gt;&lt;Authors_Primary&gt;Otero,S.&lt;/Authors_Primary&gt;&lt;Authors_Primary&gt;Hodes,M.&lt;/Authors_Primary&gt;&lt;Date_Primary&gt;2000/9&lt;/Date_Primary&gt;&lt;Keywords&gt;Adolescent&lt;/Keywords&gt;&lt;Keywords&gt;Adult&lt;/Keywords&gt;&lt;Keywords&gt;Child&lt;/Keywords&gt;&lt;Keywords&gt;drug therapy&lt;/Keywords&gt;&lt;Keywords&gt;Epilepsy&lt;/Keywords&gt;&lt;Keywords&gt;Expressed Emotion&lt;/Keywords&gt;&lt;Keywords&gt;Female&lt;/Keywords&gt;&lt;Keywords&gt;Hostility&lt;/Keywords&gt;&lt;Keywords&gt;Humans&lt;/Keywords&gt;&lt;Keywords&gt;Male&lt;/Keywords&gt;&lt;Keywords&gt;Mental Health&lt;/Keywords&gt;&lt;Keywords&gt;Mother-Child Relations&lt;/Keywords&gt;&lt;Keywords&gt;Mothers&lt;/Keywords&gt;&lt;Keywords&gt;Patient Compliance&lt;/Keywords&gt;&lt;Keywords&gt;Prospective Studies&lt;/Keywords&gt;&lt;Keywords&gt;psychology&lt;/Keywords&gt;&lt;Reprint&gt;Not in File&lt;/Reprint&gt;&lt;Start_Page&gt;604&lt;/Start_Page&gt;&lt;End_Page&gt;608&lt;/End_Page&gt;&lt;Periodical&gt;Dev.Med.Child Neurol.&lt;/Periodical&gt;&lt;Volume&gt;42&lt;/Volume&gt;&lt;Issue&gt;9&lt;/Issue&gt;&lt;Address&gt;Academic Unit of Child and Adolescent Psychiatry, Imperial College School of Medicine, St Mary&amp;apos;s Campus, London, UK&lt;/Address&gt;&lt;Web_URL&gt;PM:11034453&lt;/Web_URL&gt;&lt;ZZ_JournalStdAbbrev&gt;&lt;f name="System"&gt;Dev.Med.Child Neurol.&lt;/f&gt;&lt;/ZZ_JournalStdAbbrev&gt;&lt;ZZ_WorkformID&gt;1&lt;/ZZ_WorkformID&gt;&lt;/MDL&gt;&lt;/Cite&gt;&lt;/Refman&gt;</w:instrText>
      </w:r>
      <w:r w:rsidR="009B5648">
        <w:fldChar w:fldCharType="separate"/>
      </w:r>
      <w:r>
        <w:t>[3]</w:t>
      </w:r>
      <w:r w:rsidR="009B5648">
        <w:fldChar w:fldCharType="end"/>
      </w:r>
      <w:r>
        <w:t>.</w:t>
      </w:r>
      <w:r w:rsidRPr="00DA4F2D">
        <w:t xml:space="preserve"> </w:t>
      </w:r>
    </w:p>
    <w:p w:rsidR="00BA6265" w:rsidRPr="00DA4F2D" w:rsidRDefault="00BA6265" w:rsidP="00660039"/>
    <w:p w:rsidR="00BA6265" w:rsidRPr="00DA4F2D" w:rsidRDefault="00BA6265" w:rsidP="00660039">
      <w:r w:rsidRPr="00DA4F2D">
        <w:t>It is widely reported that individuals find it acceptable to receive SMSs that carry a health message</w:t>
      </w:r>
      <w:r>
        <w:t xml:space="preserve"> </w:t>
      </w:r>
      <w:r w:rsidR="009B5648">
        <w:fldChar w:fldCharType="begin"/>
      </w:r>
      <w:r>
        <w:instrText xml:space="preserve"> ADDIN REFMGR.CITE &lt;Refman&gt;&lt;Cite&gt;&lt;Author&gt;World Health Organization&lt;/Author&gt;&lt;Year&gt;2011&lt;/Year&gt;&lt;RecNum&gt;14&lt;/RecNum&gt;&lt;IDText&gt;mHealth: New horizons for health through mobile technologies&lt;/IDText&gt;&lt;MDL Ref_Type="Electronic Citation"&gt;&lt;Ref_Type&gt;Electronic Citation&lt;/Ref_Type&gt;&lt;Ref_ID&gt;14&lt;/Ref_ID&gt;&lt;Title_Primary&gt;mHealth: New horizons for health through mobile technologies&lt;/Title_Primary&gt;&lt;Authors_Primary&gt;World Health Organization&lt;/Authors_Primary&gt;&lt;Date_Primary&gt;2011&lt;/Date_Primary&gt;&lt;Reprint&gt;Not in File&lt;/Reprint&gt;&lt;Periodical&gt;WHO Publication&lt;/Periodical&gt;&lt;Volume&gt;Global Observatory for eHealth series - Volume 3&lt;/Volume&gt;&lt;Web_URL&gt;&lt;u&gt;http://www.who.int/goe/publications/goe_mhealth_web.pdf&lt;/u&gt;&lt;/Web_URL&gt;&lt;ZZ_JournalFull&gt;&lt;f name="System"&gt;WHO Publication&lt;/f&gt;&lt;/ZZ_JournalFull&gt;&lt;ZZ_WorkformID&gt;34&lt;/ZZ_WorkformID&gt;&lt;/MDL&gt;&lt;/Cite&gt;&lt;/Refman&gt;</w:instrText>
      </w:r>
      <w:r w:rsidR="009B5648">
        <w:fldChar w:fldCharType="separate"/>
      </w:r>
      <w:r>
        <w:t>[11]</w:t>
      </w:r>
      <w:r w:rsidR="009B5648">
        <w:fldChar w:fldCharType="end"/>
      </w:r>
      <w:r>
        <w:t>.</w:t>
      </w:r>
      <w:r w:rsidRPr="00DA4F2D">
        <w:t xml:space="preserve"> This appears to apply across age ranges and gender and in </w:t>
      </w:r>
      <w:r>
        <w:t xml:space="preserve">both </w:t>
      </w:r>
      <w:r w:rsidRPr="00DA4F2D">
        <w:t xml:space="preserve">resource </w:t>
      </w:r>
      <w:r>
        <w:t>poor</w:t>
      </w:r>
      <w:r w:rsidRPr="00DA4F2D">
        <w:t xml:space="preserve"> and resource </w:t>
      </w:r>
      <w:r>
        <w:t>rich</w:t>
      </w:r>
      <w:r w:rsidRPr="00DA4F2D">
        <w:t xml:space="preserve"> countries. Adolescents and younger adults are generally considered to be most accepting of this technology</w:t>
      </w:r>
      <w:r>
        <w:t xml:space="preserve"> </w:t>
      </w:r>
      <w:r w:rsidR="009B5648">
        <w:fldChar w:fldCharType="begin"/>
      </w:r>
      <w:r>
        <w:instrText xml:space="preserve"> ADDIN REFMGR.CITE &lt;Refman&gt;&lt;Cite&gt;&lt;Author&gt;World Health Organization&lt;/Author&gt;&lt;Year&gt;2011&lt;/Year&gt;&lt;RecNum&gt;14&lt;/RecNum&gt;&lt;IDText&gt;mHealth: New horizons for health through mobile technologies&lt;/IDText&gt;&lt;MDL Ref_Type="Electronic Citation"&gt;&lt;Ref_Type&gt;Electronic Citation&lt;/Ref_Type&gt;&lt;Ref_ID&gt;14&lt;/Ref_ID&gt;&lt;Title_Primary&gt;mHealth: New horizons for health through mobile technologies&lt;/Title_Primary&gt;&lt;Authors_Primary&gt;World Health Organization&lt;/Authors_Primary&gt;&lt;Date_Primary&gt;2011&lt;/Date_Primary&gt;&lt;Reprint&gt;Not in File&lt;/Reprint&gt;&lt;Periodical&gt;WHO Publication&lt;/Periodical&gt;&lt;Volume&gt;Global Observatory for eHealth series - Volume 3&lt;/Volume&gt;&lt;Web_URL&gt;&lt;u&gt;http://www.who.int/goe/publications/goe_mhealth_web.pdf&lt;/u&gt;&lt;/Web_URL&gt;&lt;ZZ_JournalFull&gt;&lt;f name="System"&gt;WHO Publication&lt;/f&gt;&lt;/ZZ_JournalFull&gt;&lt;ZZ_WorkformID&gt;34&lt;/ZZ_WorkformID&gt;&lt;/MDL&gt;&lt;/Cite&gt;&lt;/Refman&gt;</w:instrText>
      </w:r>
      <w:r w:rsidR="009B5648">
        <w:fldChar w:fldCharType="separate"/>
      </w:r>
      <w:r>
        <w:t>[11]</w:t>
      </w:r>
      <w:r w:rsidR="009B5648">
        <w:fldChar w:fldCharType="end"/>
      </w:r>
      <w:r>
        <w:rPr>
          <w:color w:val="FF0000"/>
        </w:rPr>
        <w:t xml:space="preserve">. </w:t>
      </w:r>
      <w:r w:rsidRPr="00DA4F2D">
        <w:t>However, for adults and children with chronic diseases</w:t>
      </w:r>
      <w:r>
        <w:t>,</w:t>
      </w:r>
      <w:r w:rsidRPr="00DA4F2D">
        <w:t xml:space="preserve"> the high acceptance levels of SMS messages does not necessarily translate into improved adherence or attendance</w:t>
      </w:r>
      <w:r>
        <w:t xml:space="preserve"> </w:t>
      </w:r>
      <w:r w:rsidR="009B5648">
        <w:fldChar w:fldCharType="begin"/>
      </w:r>
      <w:r>
        <w:instrText xml:space="preserve"> ADDIN REFMGR.CITE &lt;Refman&gt;&lt;Cite&gt;&lt;Author&gt;Miloh&lt;/Author&gt;&lt;Year&gt;2009&lt;/Year&gt;&lt;RecNum&gt;17&lt;/RecNum&gt;&lt;IDText&gt;Improved adherence and outcomes for pediatric liver transplant recipients by using text messaging&lt;/IDText&gt;&lt;MDL Ref_Type="Journal"&gt;&lt;Ref_Type&gt;Journal&lt;/Ref_Type&gt;&lt;Ref_ID&gt;17&lt;/Ref_ID&gt;&lt;Title_Primary&gt;Improved adherence and outcomes for pediatric liver transplant recipients by using text messaging&lt;/Title_Primary&gt;&lt;Authors_Primary&gt;Miloh,T.&lt;/Authors_Primary&gt;&lt;Authors_Primary&gt;Annunziato,R.&lt;/Authors_Primary&gt;&lt;Authors_Primary&gt;Arnon,R.&lt;/Authors_Primary&gt;&lt;Authors_Primary&gt;Warshaw,J.&lt;/Authors_Primary&gt;&lt;Authors_Primary&gt;Parkar,S.&lt;/Authors_Primary&gt;&lt;Authors_Primary&gt;Suchy,F.J.&lt;/Authors_Primary&gt;&lt;Authors_Primary&gt;Iyer,K.&lt;/Authors_Primary&gt;&lt;Authors_Primary&gt;Kerkar,N.&lt;/Authors_Primary&gt;&lt;Date_Primary&gt;2009/11&lt;/Date_Primary&gt;&lt;Keywords&gt;administration &amp;amp; dosage&lt;/Keywords&gt;&lt;Keywords&gt;Adolescent&lt;/Keywords&gt;&lt;Keywords&gt;Caregivers&lt;/Keywords&gt;&lt;Keywords&gt;Cellular Phone&lt;/Keywords&gt;&lt;Keywords&gt;Child&lt;/Keywords&gt;&lt;Keywords&gt;Child,Preschool&lt;/Keywords&gt;&lt;Keywords&gt;Female&lt;/Keywords&gt;&lt;Keywords&gt;Graft Rejection&lt;/Keywords&gt;&lt;Keywords&gt;Humans&lt;/Keywords&gt;&lt;Keywords&gt;Immunosuppressive Agents&lt;/Keywords&gt;&lt;Keywords&gt;Infant&lt;/Keywords&gt;&lt;Keywords&gt;Liver Transplantation&lt;/Keywords&gt;&lt;Keywords&gt;Male&lt;/Keywords&gt;&lt;Keywords&gt;Medication Adherence&lt;/Keywords&gt;&lt;Keywords&gt;methods&lt;/Keywords&gt;&lt;Keywords&gt;Patient Dropouts&lt;/Keywords&gt;&lt;Keywords&gt;pharmacokinetics&lt;/Keywords&gt;&lt;Keywords&gt;prevention &amp;amp; control&lt;/Keywords&gt;&lt;Keywords&gt;Prospective Studies&lt;/Keywords&gt;&lt;Keywords&gt;Tacrolimus&lt;/Keywords&gt;&lt;Keywords&gt;Text Messaging&lt;/Keywords&gt;&lt;Keywords&gt;Young Adult&lt;/Keywords&gt;&lt;Reprint&gt;Not in File&lt;/Reprint&gt;&lt;Start_Page&gt;e844&lt;/Start_Page&gt;&lt;End_Page&gt;e850&lt;/End_Page&gt;&lt;Periodical&gt;Pediatrics&lt;/Periodical&gt;&lt;Volume&gt;124&lt;/Volume&gt;&lt;Issue&gt;5&lt;/Issue&gt;&lt;Address&gt;Department of Pediatrics, Recanati Miller Transplant Institute, Mount Sinai Hospital, New York, New York 10029, USA. tamir.miloh@mountsinai.org&lt;/Address&gt;&lt;Web_URL&gt;PM:19822583&lt;/Web_URL&gt;&lt;ZZ_JournalStdAbbrev&gt;&lt;f name="System"&gt;Pediatrics&lt;/f&gt;&lt;/ZZ_JournalStdAbbrev&gt;&lt;ZZ_WorkformID&gt;1&lt;/ZZ_WorkformID&gt;&lt;/MDL&gt;&lt;/Cite&gt;&lt;Cite&gt;&lt;Author&gt;Ting&lt;/Author&gt;&lt;Year&gt;2012&lt;/Year&gt;&lt;RecNum&gt;5&lt;/RecNum&gt;&lt;IDText&gt;Usefulness of cellular text messaging for improving adherence among adolescents and young adults with systemic lupus erythematosus&lt;/IDText&gt;&lt;MDL Ref_Type="Journal"&gt;&lt;Ref_Type&gt;Journal&lt;/Ref_Type&gt;&lt;Ref_ID&gt;5&lt;/Ref_ID&gt;&lt;Title_Primary&gt;Usefulness of cellular text messaging for improving adherence among adolescents and young adults with systemic lupus erythematosus&lt;/Title_Primary&gt;&lt;Authors_Primary&gt;Ting,T.V.&lt;/Authors_Primary&gt;&lt;Authors_Primary&gt;Kudalkar,D.&lt;/Authors_Primary&gt;&lt;Authors_Primary&gt;Nelson,S.&lt;/Authors_Primary&gt;&lt;Authors_Primary&gt;Cortina,S.&lt;/Authors_Primary&gt;&lt;Authors_Primary&gt;Pendl,J.&lt;/Authors_Primary&gt;&lt;Authors_Primary&gt;Budhani,S.&lt;/Authors_Primary&gt;&lt;Authors_Primary&gt;Neville,J.&lt;/Authors_Primary&gt;&lt;Authors_Primary&gt;Taylor,J.&lt;/Authors_Primary&gt;&lt;Authors_Primary&gt;Huggins,J.&lt;/Authors_Primary&gt;&lt;Authors_Primary&gt;Drotar,D.&lt;/Authors_Primary&gt;&lt;Authors_Primary&gt;Brunner,H.I.&lt;/Authors_Primary&gt;&lt;Date_Primary&gt;2012/1&lt;/Date_Primary&gt;&lt;Keywords&gt;Adolescent&lt;/Keywords&gt;&lt;Keywords&gt;Adult&lt;/Keywords&gt;&lt;Keywords&gt;Ambulatory Care Facilities&lt;/Keywords&gt;&lt;Keywords&gt;Antirheumatic Agents&lt;/Keywords&gt;&lt;Keywords&gt;blood&lt;/Keywords&gt;&lt;Keywords&gt;drug therapy&lt;/Keywords&gt;&lt;Keywords&gt;education&lt;/Keywords&gt;&lt;Keywords&gt;Female&lt;/Keywords&gt;&lt;Keywords&gt;Humans&lt;/Keywords&gt;&lt;Keywords&gt;Hydroxychloroquine&lt;/Keywords&gt;&lt;Keywords&gt;Lupus Erythematosus,Systemic&lt;/Keywords&gt;&lt;Keywords&gt;Male&lt;/Keywords&gt;&lt;Keywords&gt;Medication Adherence&lt;/Keywords&gt;&lt;Keywords&gt;methods&lt;/Keywords&gt;&lt;Keywords&gt;Patient Compliance&lt;/Keywords&gt;&lt;Keywords&gt;physiopathology&lt;/Keywords&gt;&lt;Keywords&gt;Questionnaires&lt;/Keywords&gt;&lt;Keywords&gt;Text Messaging&lt;/Keywords&gt;&lt;Keywords&gt;therapeutic use&lt;/Keywords&gt;&lt;Keywords&gt;Young Adult&lt;/Keywords&gt;&lt;Reprint&gt;Not in File&lt;/Reprint&gt;&lt;Start_Page&gt;174&lt;/Start_Page&gt;&lt;End_Page&gt;179&lt;/End_Page&gt;&lt;Periodical&gt;J.Rheumatol.&lt;/Periodical&gt;&lt;Volume&gt;39&lt;/Volume&gt;&lt;Issue&gt;1&lt;/Issue&gt;&lt;Address&gt;Cincinnati Children&amp;apos;s Hospital Medical Center, William Rowe Division of Rheumatology, MLC 4010, 3333 Burnet Avenue, Cincinnati, OH 45229-3039, USA. tracy.ting@cchmc.org&lt;/Address&gt;&lt;Web_URL&gt;PM:22089460&lt;/Web_URL&gt;&lt;ZZ_JournalStdAbbrev&gt;&lt;f name="System"&gt;J.Rheumatol.&lt;/f&gt;&lt;/ZZ_JournalStdAbbrev&gt;&lt;ZZ_WorkformID&gt;1&lt;/ZZ_WorkformID&gt;&lt;/MDL&gt;&lt;/Cite&gt;&lt;/Refman&gt;</w:instrText>
      </w:r>
      <w:r w:rsidR="009B5648">
        <w:fldChar w:fldCharType="separate"/>
      </w:r>
      <w:r>
        <w:t>[20,22]</w:t>
      </w:r>
      <w:r w:rsidR="009B5648">
        <w:fldChar w:fldCharType="end"/>
      </w:r>
      <w:r>
        <w:t>.</w:t>
      </w:r>
      <w:r w:rsidRPr="00DA4F2D">
        <w:rPr>
          <w:color w:val="FF0000"/>
        </w:rPr>
        <w:t xml:space="preserve"> </w:t>
      </w:r>
      <w:r>
        <w:t>One</w:t>
      </w:r>
      <w:r w:rsidRPr="00DA4F2D">
        <w:t xml:space="preserve">-off messages intended to remind individuals of medical or dental appointments </w:t>
      </w:r>
      <w:r>
        <w:t xml:space="preserve">are reported to </w:t>
      </w:r>
      <w:r w:rsidRPr="00DA4F2D">
        <w:t xml:space="preserve">have </w:t>
      </w:r>
      <w:r>
        <w:t>had some success in</w:t>
      </w:r>
      <w:r w:rsidRPr="00DA4F2D">
        <w:t xml:space="preserve"> improving appointment attendance rates</w:t>
      </w:r>
      <w:r>
        <w:t xml:space="preserve"> </w:t>
      </w:r>
      <w:r w:rsidR="009B5648">
        <w:fldChar w:fldCharType="begin"/>
      </w:r>
      <w:r>
        <w:instrText xml:space="preserve"> ADDIN REFMGR.CITE &lt;Refman&gt;&lt;Cite&gt;&lt;Author&gt;Guy&lt;/Author&gt;&lt;Year&gt;2012&lt;/Year&gt;&lt;RecNum&gt;16&lt;/RecNum&gt;&lt;IDText&gt;How effective are short message service reminders at increasing clinic attendance? A meta-analysis and systematic review&lt;/IDText&gt;&lt;MDL Ref_Type="Journal"&gt;&lt;Ref_Type&gt;Journal&lt;/Ref_Type&gt;&lt;Ref_ID&gt;16&lt;/Ref_ID&gt;&lt;Title_Primary&gt;How effective are short message service reminders at increasing clinic attendance? A meta-analysis and systematic review&lt;/Title_Primary&gt;&lt;Authors_Primary&gt;Guy,R.&lt;/Authors_Primary&gt;&lt;Authors_Primary&gt;Hocking,J.&lt;/Authors_Primary&gt;&lt;Authors_Primary&gt;Wand,H.&lt;/Authors_Primary&gt;&lt;Authors_Primary&gt;Stott,S.&lt;/Authors_Primary&gt;&lt;Authors_Primary&gt;Ali,H.&lt;/Authors_Primary&gt;&lt;Authors_Primary&gt;Kaldor,J.&lt;/Authors_Primary&gt;&lt;Date_Primary&gt;2012/4&lt;/Date_Primary&gt;&lt;Keywords&gt;Appointments and Schedules&lt;/Keywords&gt;&lt;Keywords&gt;Cellular Phone&lt;/Keywords&gt;&lt;Keywords&gt;Humans&lt;/Keywords&gt;&lt;Keywords&gt;methods&lt;/Keywords&gt;&lt;Keywords&gt;Patient Compliance&lt;/Keywords&gt;&lt;Keywords&gt;Reminder Systems&lt;/Keywords&gt;&lt;Reprint&gt;Not in File&lt;/Reprint&gt;&lt;Start_Page&gt;614&lt;/Start_Page&gt;&lt;End_Page&gt;632&lt;/End_Page&gt;&lt;Periodical&gt;Health Serv.Res.&lt;/Periodical&gt;&lt;Volume&gt;47&lt;/Volume&gt;&lt;Issue&gt;2&lt;/Issue&gt;&lt;Address&gt;The Kirby Institute, University of New South Wales, Darlinghurst, NSW, Australia. rguy@kirby.unsw.edu.au&lt;/Address&gt;&lt;Web_URL&gt;PM:22091980&lt;/Web_URL&gt;&lt;ZZ_JournalStdAbbrev&gt;&lt;f name="System"&gt;Health Serv.Res.&lt;/f&gt;&lt;/ZZ_JournalStdAbbrev&gt;&lt;ZZ_WorkformID&gt;1&lt;/ZZ_WorkformID&gt;&lt;/MDL&gt;&lt;/Cite&gt;&lt;/Refman&gt;</w:instrText>
      </w:r>
      <w:r w:rsidR="009B5648">
        <w:fldChar w:fldCharType="separate"/>
      </w:r>
      <w:r>
        <w:t>[23]</w:t>
      </w:r>
      <w:r w:rsidR="009B5648">
        <w:fldChar w:fldCharType="end"/>
      </w:r>
      <w:r>
        <w:t xml:space="preserve">. However, the strength of the evidence to support this finding is not strong </w:t>
      </w:r>
      <w:r w:rsidR="009B5648">
        <w:fldChar w:fldCharType="begin"/>
      </w:r>
      <w:r>
        <w:instrText xml:space="preserve"> ADDIN REFMGR.CITE &lt;Refman&gt;&lt;Cite&gt;&lt;Author&gt;Car&lt;/Author&gt;&lt;Year&gt;2012&lt;/Year&gt;&lt;RecNum&gt;3092&lt;/RecNum&gt;&lt;IDText&gt;Mobile phone messaging reminders for attendance at healthcare appointments&lt;/IDText&gt;&lt;MDL Ref_Type="Journal"&gt;&lt;Ref_Type&gt;Journal&lt;/Ref_Type&gt;&lt;Ref_ID&gt;3092&lt;/Ref_ID&gt;&lt;Title_Primary&gt;Mobile phone messaging reminders for attendance at healthcare appointments&lt;/Title_Primary&gt;&lt;Authors_Primary&gt;Car,J.&lt;/Authors_Primary&gt;&lt;Authors_Primary&gt;Gurol-Urganci,I.&lt;/Authors_Primary&gt;&lt;Authors_Primary&gt;de,Jongh T.&lt;/Authors_Primary&gt;&lt;Authors_Primary&gt;Vodopivec-Jamsek,V.&lt;/Authors_Primary&gt;&lt;Authors_Primary&gt;Atun,R.&lt;/Authors_Primary&gt;&lt;Date_Primary&gt;2012&lt;/Date_Primary&gt;&lt;Keywords&gt;analysis&lt;/Keywords&gt;&lt;Keywords&gt;Appointments and Schedules&lt;/Keywords&gt;&lt;Keywords&gt;Cellular Phone&lt;/Keywords&gt;&lt;Keywords&gt;economics&lt;/Keywords&gt;&lt;Keywords&gt;Health&lt;/Keywords&gt;&lt;Keywords&gt;Humans&lt;/Keywords&gt;&lt;Keywords&gt;methods&lt;/Keywords&gt;&lt;Keywords&gt;Randomized Controlled Trials as Topic&lt;/Keywords&gt;&lt;Keywords&gt;Reminder Systems&lt;/Keywords&gt;&lt;Keywords&gt;Research&lt;/Keywords&gt;&lt;Keywords&gt;review&lt;/Keywords&gt;&lt;Keywords&gt;Text Messaging&lt;/Keywords&gt;&lt;Reprint&gt;Not in File&lt;/Reprint&gt;&lt;Start_Page&gt;CD007458&lt;/Start_Page&gt;&lt;Periodical&gt;Cochrane.Database.Syst.Rev.&lt;/Periodical&gt;&lt;Volume&gt;7&lt;/Volume&gt;&lt;Address&gt;Global eHealth Unit, Department of Primary Care and Public Health, School of Public Health, Imperial College London, London,UK. josip.car@imperial.ac.uk&lt;/Address&gt;&lt;Web_URL&gt;PM:22786507&lt;/Web_URL&gt;&lt;ZZ_JournalStdAbbrev&gt;&lt;f name="System"&gt;Cochrane.Database.Syst.Rev.&lt;/f&gt;&lt;/ZZ_JournalStdAbbrev&gt;&lt;ZZ_WorkformID&gt;1&lt;/ZZ_WorkformID&gt;&lt;/MDL&gt;&lt;/Cite&gt;&lt;/Refman&gt;</w:instrText>
      </w:r>
      <w:r w:rsidR="009B5648">
        <w:fldChar w:fldCharType="separate"/>
      </w:r>
      <w:r>
        <w:t>[24]</w:t>
      </w:r>
      <w:r w:rsidR="009B5648">
        <w:fldChar w:fldCharType="end"/>
      </w:r>
      <w:r>
        <w:t>.</w:t>
      </w:r>
      <w:r w:rsidRPr="00DA4F2D">
        <w:t xml:space="preserve"> </w:t>
      </w:r>
      <w:r>
        <w:t>T</w:t>
      </w:r>
      <w:r w:rsidRPr="00DA4F2D">
        <w:t>he apparently same intervention may not work in changed context</w:t>
      </w:r>
      <w:r>
        <w:t>s</w:t>
      </w:r>
      <w:r w:rsidRPr="00DA4F2D">
        <w:t xml:space="preserve"> or </w:t>
      </w:r>
      <w:r>
        <w:t xml:space="preserve">for </w:t>
      </w:r>
      <w:r w:rsidRPr="00DA4F2D">
        <w:t>persons with different health profiles.</w:t>
      </w:r>
    </w:p>
    <w:p w:rsidR="00BA6265" w:rsidRPr="00DA4F2D" w:rsidRDefault="00BA6265" w:rsidP="00660039"/>
    <w:p w:rsidR="00BA6265" w:rsidRPr="00DA4F2D" w:rsidRDefault="00BA6265" w:rsidP="00660039">
      <w:r w:rsidRPr="00DA4F2D">
        <w:t xml:space="preserve">It is advised that messages be developed </w:t>
      </w:r>
      <w:r>
        <w:t>after</w:t>
      </w:r>
      <w:r w:rsidRPr="00DA4F2D">
        <w:t xml:space="preserve"> consultation</w:t>
      </w:r>
      <w:r>
        <w:t xml:space="preserve"> with members of the local population for whom the messages are intended.</w:t>
      </w:r>
      <w:r w:rsidRPr="00DA4F2D">
        <w:t xml:space="preserve"> Recipient characteristics and their routines of daily living influence what is the acceptable content, the length of messages and broadcast time</w:t>
      </w:r>
      <w:r>
        <w:t xml:space="preserve"> </w:t>
      </w:r>
      <w:r w:rsidR="009B5648">
        <w:fldChar w:fldCharType="begin"/>
      </w:r>
      <w:r>
        <w:instrText xml:space="preserve"> ADDIN REFMGR.CITE &lt;Refman&gt;&lt;Cite&gt;&lt;Author&gt;Kreuter&lt;/Author&gt;&lt;Year&gt;1999&lt;/Year&gt;&lt;RecNum&gt;3083&lt;/RecNum&gt;&lt;IDText&gt;One size does not fit all: the case for tailoring print materials&lt;/IDText&gt;&lt;MDL Ref_Type="Journal"&gt;&lt;Ref_Type&gt;Journal&lt;/Ref_Type&gt;&lt;Ref_ID&gt;3083&lt;/Ref_ID&gt;&lt;Title_Primary&gt;One size does not fit all: the case for tailoring print materials&lt;/Title_Primary&gt;&lt;Authors_Primary&gt;Kreuter,M.W.&lt;/Authors_Primary&gt;&lt;Authors_Primary&gt;Strecher,V.J.&lt;/Authors_Primary&gt;&lt;Authors_Primary&gt;Glassman,B.&lt;/Authors_Primary&gt;&lt;Date_Primary&gt;1999&lt;/Date_Primary&gt;&lt;Keywords&gt;Algorithms&lt;/Keywords&gt;&lt;Keywords&gt;Communities&lt;/Keywords&gt;&lt;Keywords&gt;Community&lt;/Keywords&gt;&lt;Keywords&gt;education&lt;/Keywords&gt;&lt;Keywords&gt;Health&lt;/Keywords&gt;&lt;Keywords&gt;Health Education&lt;/Keywords&gt;&lt;Keywords&gt;Health Promotion&lt;/Keywords&gt;&lt;Keywords&gt;Humans&lt;/Keywords&gt;&lt;Keywords&gt;Information Services&lt;/Keywords&gt;&lt;Keywords&gt;methods&lt;/Keywords&gt;&lt;Keywords&gt;Pamphlets&lt;/Keywords&gt;&lt;Keywords&gt;Software&lt;/Keywords&gt;&lt;Keywords&gt;standards&lt;/Keywords&gt;&lt;Keywords&gt;Teaching Materials&lt;/Keywords&gt;&lt;Keywords&gt;trends&lt;/Keywords&gt;&lt;Keywords&gt;United States&lt;/Keywords&gt;&lt;Reprint&gt;Not in File&lt;/Reprint&gt;&lt;Start_Page&gt;276&lt;/Start_Page&gt;&lt;End_Page&gt;283&lt;/End_Page&gt;&lt;Periodical&gt;Ann.Behav.Med.&lt;/Periodical&gt;&lt;Volume&gt;21&lt;/Volume&gt;&lt;Issue&gt;4&lt;/Issue&gt;&lt;Address&gt;Department of Community Health, School of Public Health, Saint Louis University, MO 63108, USA&lt;/Address&gt;&lt;Web_URL&gt;PM:10721433&lt;/Web_URL&gt;&lt;ZZ_JournalStdAbbrev&gt;&lt;f name="System"&gt;Ann.Behav.Med.&lt;/f&gt;&lt;/ZZ_JournalStdAbbrev&gt;&lt;ZZ_WorkformID&gt;1&lt;/ZZ_WorkformID&gt;&lt;/MDL&gt;&lt;/Cite&gt;&lt;Cite&gt;&lt;Author&gt;Heron&lt;/Author&gt;&lt;Year&gt;2010&lt;/Year&gt;&lt;RecNum&gt;3084&lt;/RecNum&gt;&lt;IDText&gt;Ecological momentary interventions: incorporating mobile technology into psychosocial and health behaviour treatments&lt;/IDText&gt;&lt;MDL Ref_Type="Journal"&gt;&lt;Ref_Type&gt;Journal&lt;/Ref_Type&gt;&lt;Ref_ID&gt;3084&lt;/Ref_ID&gt;&lt;Title_Primary&gt;Ecological momentary interventions: incorporating mobile technology into psychosocial and health behaviour treatments&lt;/Title_Primary&gt;&lt;Authors_Primary&gt;Heron,K.E.&lt;/Authors_Primary&gt;&lt;Authors_Primary&gt;Smyth,J.M.&lt;/Authors_Primary&gt;&lt;Date_Primary&gt;2010/2&lt;/Date_Primary&gt;&lt;Keywords&gt;Adolescent&lt;/Keywords&gt;&lt;Keywords&gt;Adult&lt;/Keywords&gt;&lt;Keywords&gt;Alcoholism&lt;/Keywords&gt;&lt;Keywords&gt;Anxiety Disorders&lt;/Keywords&gt;&lt;Keywords&gt;Cellular Phone&lt;/Keywords&gt;&lt;Keywords&gt;Child&lt;/Keywords&gt;&lt;Keywords&gt;Computers,Handheld&lt;/Keywords&gt;&lt;Keywords&gt;Diabetes Mellitus&lt;/Keywords&gt;&lt;Keywords&gt;Eating Disorders&lt;/Keywords&gt;&lt;Keywords&gt;Feeding Behavior&lt;/Keywords&gt;&lt;Keywords&gt;Female&lt;/Keywords&gt;&lt;Keywords&gt;Health&lt;/Keywords&gt;&lt;Keywords&gt;Health Behavior&lt;/Keywords&gt;&lt;Keywords&gt;Health Promotion&lt;/Keywords&gt;&lt;Keywords&gt;Humans&lt;/Keywords&gt;&lt;Keywords&gt;Male&lt;/Keywords&gt;&lt;Keywords&gt;Mental Disorders&lt;/Keywords&gt;&lt;Keywords&gt;methods&lt;/Keywords&gt;&lt;Keywords&gt;Middle Aged&lt;/Keywords&gt;&lt;Keywords&gt;Motor Activity&lt;/Keywords&gt;&lt;Keywords&gt;Obesity&lt;/Keywords&gt;&lt;Keywords&gt;Patient Satisfaction&lt;/Keywords&gt;&lt;Keywords&gt;Psychotherapy&lt;/Keywords&gt;&lt;Keywords&gt;Research&lt;/Keywords&gt;&lt;Keywords&gt;Self Care&lt;/Keywords&gt;&lt;Keywords&gt;Smoking&lt;/Keywords&gt;&lt;Keywords&gt;Smoking Cessation&lt;/Keywords&gt;&lt;Keywords&gt;therapy&lt;/Keywords&gt;&lt;Keywords&gt;Treatment Outcome&lt;/Keywords&gt;&lt;Keywords&gt;Weight Loss&lt;/Keywords&gt;&lt;Keywords&gt;Young Adult&lt;/Keywords&gt;&lt;Reprint&gt;Not in File&lt;/Reprint&gt;&lt;Start_Page&gt;1&lt;/Start_Page&gt;&lt;End_Page&gt;39&lt;/End_Page&gt;&lt;Periodical&gt;Br.J.Health Psychol.&lt;/Periodical&gt;&lt;Volume&gt;15&lt;/Volume&gt;&lt;Issue&gt;Pt 1&lt;/Issue&gt;&lt;Address&gt;Syracuse University, New York, USA&lt;/Address&gt;&lt;Web_URL&gt;PM:19646331&lt;/Web_URL&gt;&lt;ZZ_JournalStdAbbrev&gt;&lt;f name="System"&gt;Br.J.Health Psychol.&lt;/f&gt;&lt;/ZZ_JournalStdAbbrev&gt;&lt;ZZ_WorkformID&gt;1&lt;/ZZ_WorkformID&gt;&lt;/MDL&gt;&lt;/Cite&gt;&lt;/Refman&gt;</w:instrText>
      </w:r>
      <w:r w:rsidR="009B5648">
        <w:fldChar w:fldCharType="separate"/>
      </w:r>
      <w:r>
        <w:t>[25,26]</w:t>
      </w:r>
      <w:r w:rsidR="009B5648">
        <w:fldChar w:fldCharType="end"/>
      </w:r>
      <w:r>
        <w:t>.</w:t>
      </w:r>
    </w:p>
    <w:p w:rsidR="00BA6265" w:rsidRPr="00DA4F2D" w:rsidRDefault="00BA6265" w:rsidP="00660039"/>
    <w:p w:rsidR="00BA6265" w:rsidRPr="00DA4F2D" w:rsidRDefault="00BA6265" w:rsidP="00660039">
      <w:pPr>
        <w:rPr>
          <w:color w:val="FF0000"/>
        </w:rPr>
      </w:pPr>
      <w:r w:rsidRPr="00DA4F2D">
        <w:lastRenderedPageBreak/>
        <w:t>Several studies report that personalising messages increases adherence rates</w:t>
      </w:r>
      <w:r>
        <w:t xml:space="preserve"> </w:t>
      </w:r>
      <w:r w:rsidR="009B5648">
        <w:fldChar w:fldCharType="begin"/>
      </w:r>
      <w:r>
        <w:instrText xml:space="preserve"> ADDIN REFMGR.CITE &lt;Refman&gt;&lt;Cite&gt;&lt;Author&gt;Heron&lt;/Author&gt;&lt;Year&gt;2010&lt;/Year&gt;&lt;RecNum&gt;3084&lt;/RecNum&gt;&lt;IDText&gt;Ecological momentary interventions: incorporating mobile technology into psychosocial and health behaviour treatments&lt;/IDText&gt;&lt;MDL Ref_Type="Journal"&gt;&lt;Ref_Type&gt;Journal&lt;/Ref_Type&gt;&lt;Ref_ID&gt;3084&lt;/Ref_ID&gt;&lt;Title_Primary&gt;Ecological momentary interventions: incorporating mobile technology into psychosocial and health behaviour treatments&lt;/Title_Primary&gt;&lt;Authors_Primary&gt;Heron,K.E.&lt;/Authors_Primary&gt;&lt;Authors_Primary&gt;Smyth,J.M.&lt;/Authors_Primary&gt;&lt;Date_Primary&gt;2010/2&lt;/Date_Primary&gt;&lt;Keywords&gt;Adolescent&lt;/Keywords&gt;&lt;Keywords&gt;Adult&lt;/Keywords&gt;&lt;Keywords&gt;Alcoholism&lt;/Keywords&gt;&lt;Keywords&gt;Anxiety Disorders&lt;/Keywords&gt;&lt;Keywords&gt;Cellular Phone&lt;/Keywords&gt;&lt;Keywords&gt;Child&lt;/Keywords&gt;&lt;Keywords&gt;Computers,Handheld&lt;/Keywords&gt;&lt;Keywords&gt;Diabetes Mellitus&lt;/Keywords&gt;&lt;Keywords&gt;Eating Disorders&lt;/Keywords&gt;&lt;Keywords&gt;Feeding Behavior&lt;/Keywords&gt;&lt;Keywords&gt;Female&lt;/Keywords&gt;&lt;Keywords&gt;Health&lt;/Keywords&gt;&lt;Keywords&gt;Health Behavior&lt;/Keywords&gt;&lt;Keywords&gt;Health Promotion&lt;/Keywords&gt;&lt;Keywords&gt;Humans&lt;/Keywords&gt;&lt;Keywords&gt;Male&lt;/Keywords&gt;&lt;Keywords&gt;Mental Disorders&lt;/Keywords&gt;&lt;Keywords&gt;methods&lt;/Keywords&gt;&lt;Keywords&gt;Middle Aged&lt;/Keywords&gt;&lt;Keywords&gt;Motor Activity&lt;/Keywords&gt;&lt;Keywords&gt;Obesity&lt;/Keywords&gt;&lt;Keywords&gt;Patient Satisfaction&lt;/Keywords&gt;&lt;Keywords&gt;Psychotherapy&lt;/Keywords&gt;&lt;Keywords&gt;Research&lt;/Keywords&gt;&lt;Keywords&gt;Self Care&lt;/Keywords&gt;&lt;Keywords&gt;Smoking&lt;/Keywords&gt;&lt;Keywords&gt;Smoking Cessation&lt;/Keywords&gt;&lt;Keywords&gt;therapy&lt;/Keywords&gt;&lt;Keywords&gt;Treatment Outcome&lt;/Keywords&gt;&lt;Keywords&gt;Weight Loss&lt;/Keywords&gt;&lt;Keywords&gt;Young Adult&lt;/Keywords&gt;&lt;Reprint&gt;Not in File&lt;/Reprint&gt;&lt;Start_Page&gt;1&lt;/Start_Page&gt;&lt;End_Page&gt;39&lt;/End_Page&gt;&lt;Periodical&gt;Br.J.Health Psychol.&lt;/Periodical&gt;&lt;Volume&gt;15&lt;/Volume&gt;&lt;Issue&gt;Pt 1&lt;/Issue&gt;&lt;Address&gt;Syracuse University, New York, USA&lt;/Address&gt;&lt;Web_URL&gt;PM:19646331&lt;/Web_URL&gt;&lt;ZZ_JournalStdAbbrev&gt;&lt;f name="System"&gt;Br.J.Health Psychol.&lt;/f&gt;&lt;/ZZ_JournalStdAbbrev&gt;&lt;ZZ_WorkformID&gt;1&lt;/ZZ_WorkformID&gt;&lt;/MDL&gt;&lt;/Cite&gt;&lt;Cite&gt;&lt;Author&gt;Kreuter&lt;/Author&gt;&lt;Year&gt;2003&lt;/Year&gt;&lt;RecNum&gt;3085&lt;/RecNum&gt;&lt;IDText&gt;Tailored and targeted health communication: strategies for enhancing information relevance&lt;/IDText&gt;&lt;MDL Ref_Type="Journal"&gt;&lt;Ref_Type&gt;Journal&lt;/Ref_Type&gt;&lt;Ref_ID&gt;3085&lt;/Ref_ID&gt;&lt;Title_Primary&gt;Tailored and targeted health communication: strategies for enhancing information relevance&lt;/Title_Primary&gt;&lt;Authors_Primary&gt;Kreuter,M.W.&lt;/Authors_Primary&gt;&lt;Authors_Primary&gt;Wray,R.J.&lt;/Authors_Primary&gt;&lt;Date_Primary&gt;2003/11&lt;/Date_Primary&gt;&lt;Keywords&gt;Behavioral Research&lt;/Keywords&gt;&lt;Keywords&gt;Health&lt;/Keywords&gt;&lt;Keywords&gt;Health Behavior&lt;/Keywords&gt;&lt;Keywords&gt;Health Education&lt;/Keywords&gt;&lt;Keywords&gt;Health Promotion&lt;/Keywords&gt;&lt;Keywords&gt;Humans&lt;/Keywords&gt;&lt;Keywords&gt;Mass Media&lt;/Keywords&gt;&lt;Keywords&gt;methods&lt;/Keywords&gt;&lt;Keywords&gt;Obesity&lt;/Keywords&gt;&lt;Keywords&gt;Persuasive Communication&lt;/Keywords&gt;&lt;Keywords&gt;prevention &amp;amp; control&lt;/Keywords&gt;&lt;Keywords&gt;psychology&lt;/Keywords&gt;&lt;Keywords&gt;Research&lt;/Keywords&gt;&lt;Keywords&gt;Social Marketing&lt;/Keywords&gt;&lt;Keywords&gt;Weight Loss&lt;/Keywords&gt;&lt;Reprint&gt;Not in File&lt;/Reprint&gt;&lt;Start_Page&gt;S227&lt;/Start_Page&gt;&lt;End_Page&gt;S232&lt;/End_Page&gt;&lt;Periodical&gt;Am.J.Health Behav.&lt;/Periodical&gt;&lt;Volume&gt;27 Suppl 3&lt;/Volume&gt;&lt;Address&gt;Health Communication Research Laboratory, School of Public Health, Saint Louis University, St. Louis, MO 63104, USA. kreuter@slu.edu&lt;/Address&gt;&lt;Web_URL&gt;PM:14672383&lt;/Web_URL&gt;&lt;ZZ_JournalStdAbbrev&gt;&lt;f name="System"&gt;Am.J.Health Behav.&lt;/f&gt;&lt;/ZZ_JournalStdAbbrev&gt;&lt;ZZ_WorkformID&gt;1&lt;/ZZ_WorkformID&gt;&lt;/MDL&gt;&lt;/Cite&gt;&lt;Cite&gt;&lt;Author&gt;Kreuter&lt;/Author&gt;&lt;Year&gt;1999&lt;/Year&gt;&lt;RecNum&gt;3083&lt;/RecNum&gt;&lt;IDText&gt;One size does not fit all: the case for tailoring print materials&lt;/IDText&gt;&lt;MDL Ref_Type="Journal"&gt;&lt;Ref_Type&gt;Journal&lt;/Ref_Type&gt;&lt;Ref_ID&gt;3083&lt;/Ref_ID&gt;&lt;Title_Primary&gt;One size does not fit all: the case for tailoring print materials&lt;/Title_Primary&gt;&lt;Authors_Primary&gt;Kreuter,M.W.&lt;/Authors_Primary&gt;&lt;Authors_Primary&gt;Strecher,V.J.&lt;/Authors_Primary&gt;&lt;Authors_Primary&gt;Glassman,B.&lt;/Authors_Primary&gt;&lt;Date_Primary&gt;1999&lt;/Date_Primary&gt;&lt;Keywords&gt;Algorithms&lt;/Keywords&gt;&lt;Keywords&gt;Communities&lt;/Keywords&gt;&lt;Keywords&gt;Community&lt;/Keywords&gt;&lt;Keywords&gt;education&lt;/Keywords&gt;&lt;Keywords&gt;Health&lt;/Keywords&gt;&lt;Keywords&gt;Health Education&lt;/Keywords&gt;&lt;Keywords&gt;Health Promotion&lt;/Keywords&gt;&lt;Keywords&gt;Humans&lt;/Keywords&gt;&lt;Keywords&gt;Information Services&lt;/Keywords&gt;&lt;Keywords&gt;methods&lt;/Keywords&gt;&lt;Keywords&gt;Pamphlets&lt;/Keywords&gt;&lt;Keywords&gt;Software&lt;/Keywords&gt;&lt;Keywords&gt;standards&lt;/Keywords&gt;&lt;Keywords&gt;Teaching Materials&lt;/Keywords&gt;&lt;Keywords&gt;trends&lt;/Keywords&gt;&lt;Keywords&gt;United States&lt;/Keywords&gt;&lt;Reprint&gt;Not in File&lt;/Reprint&gt;&lt;Start_Page&gt;276&lt;/Start_Page&gt;&lt;End_Page&gt;283&lt;/End_Page&gt;&lt;Periodical&gt;Ann.Behav.Med.&lt;/Periodical&gt;&lt;Volume&gt;21&lt;/Volume&gt;&lt;Issue&gt;4&lt;/Issue&gt;&lt;Address&gt;Department of Community Health, School of Public Health, Saint Louis University, MO 63108, USA&lt;/Address&gt;&lt;Web_URL&gt;PM:10721433&lt;/Web_URL&gt;&lt;ZZ_JournalStdAbbrev&gt;&lt;f name="System"&gt;Ann.Behav.Med.&lt;/f&gt;&lt;/ZZ_JournalStdAbbrev&gt;&lt;ZZ_WorkformID&gt;1&lt;/ZZ_WorkformID&gt;&lt;/MDL&gt;&lt;/Cite&gt;&lt;/Refman&gt;</w:instrText>
      </w:r>
      <w:r w:rsidR="009B5648">
        <w:fldChar w:fldCharType="separate"/>
      </w:r>
      <w:r>
        <w:t>[25-27]</w:t>
      </w:r>
      <w:r w:rsidR="009B5648">
        <w:fldChar w:fldCharType="end"/>
      </w:r>
      <w:r>
        <w:rPr>
          <w:color w:val="FF0000"/>
        </w:rPr>
        <w:t xml:space="preserve">. </w:t>
      </w:r>
      <w:r w:rsidRPr="00DA4F2D">
        <w:t xml:space="preserve">For example, in the case of simple reminder SMS to an individual </w:t>
      </w:r>
      <w:r>
        <w:t xml:space="preserve">to </w:t>
      </w:r>
      <w:r w:rsidRPr="00DA4F2D">
        <w:t>remind them to attend an appointment including details such as the actual date and the time of the appointment can improve attendance rates</w:t>
      </w:r>
      <w:r w:rsidRPr="00DA4F2D">
        <w:rPr>
          <w:color w:val="FF0000"/>
        </w:rPr>
        <w:t>.</w:t>
      </w:r>
    </w:p>
    <w:p w:rsidR="00BA6265" w:rsidRPr="00DA4F2D" w:rsidRDefault="00BA6265" w:rsidP="00660039"/>
    <w:p w:rsidR="00BA6265" w:rsidRPr="00DA4F2D" w:rsidRDefault="00BA6265" w:rsidP="00660039">
      <w:r w:rsidRPr="00DA4F2D">
        <w:t>Persons receiving SMSs can ignore messages (develop a tolerance to the messages) and be non–adherent after receiving messages at a predictable time over days or weeks</w:t>
      </w:r>
      <w:r>
        <w:t xml:space="preserve"> </w:t>
      </w:r>
      <w:r w:rsidR="009B5648">
        <w:fldChar w:fldCharType="begin"/>
      </w:r>
      <w:r>
        <w:instrText xml:space="preserve"> ADDIN REFMGR.CITE &lt;Refman&gt;&lt;Cite&gt;&lt;Author&gt;Pop-Eleches&lt;/Author&gt;&lt;Year&gt;2011&lt;/Year&gt;&lt;RecNum&gt;2&lt;/RecNum&gt;&lt;IDText&gt;Mobile phone technologies improve adherence to antiretroviral treatment in a resource-limited setting: a randomized controlled trial of text message reminders&lt;/IDText&gt;&lt;MDL Ref_Type="Journal"&gt;&lt;Ref_Type&gt;Journal&lt;/Ref_Type&gt;&lt;Ref_ID&gt;2&lt;/Ref_ID&gt;&lt;Title_Primary&gt;Mobile phone technologies improve adherence to antiretroviral treatment in a resource-limited setting: a randomized controlled trial of text message reminders&lt;/Title_Primary&gt;&lt;Authors_Primary&gt;Pop-Eleches,C.&lt;/Authors_Primary&gt;&lt;Authors_Primary&gt;Thirumurthy,H.&lt;/Authors_Primary&gt;&lt;Authors_Primary&gt;Habyarimana,J.P.&lt;/Authors_Primary&gt;&lt;Authors_Primary&gt;Zivin,J.G.&lt;/Authors_Primary&gt;&lt;Authors_Primary&gt;Goldstein,M.P.&lt;/Authors_Primary&gt;&lt;Authors_Primary&gt;de,Walque D.&lt;/Authors_Primary&gt;&lt;Authors_Primary&gt;MacKeen,L.&lt;/Authors_Primary&gt;&lt;Authors_Primary&gt;Haberer,J.&lt;/Authors_Primary&gt;&lt;Authors_Primary&gt;Kimaiyo,S.&lt;/Authors_Primary&gt;&lt;Authors_Primary&gt;Sidle,J.&lt;/Authors_Primary&gt;&lt;Authors_Primary&gt;Ngare,D.&lt;/Authors_Primary&gt;&lt;Authors_Primary&gt;Bangsberg,D.R.&lt;/Authors_Primary&gt;&lt;Date_Primary&gt;2011/3/27&lt;/Date_Primary&gt;&lt;Keywords&gt;Adult&lt;/Keywords&gt;&lt;Keywords&gt;Anti-Retroviral Agents&lt;/Keywords&gt;&lt;Keywords&gt;Cellular Phone&lt;/Keywords&gt;&lt;Keywords&gt;drug therapy&lt;/Keywords&gt;&lt;Keywords&gt;Female&lt;/Keywords&gt;&lt;Keywords&gt;Health Services Accessibility&lt;/Keywords&gt;&lt;Keywords&gt;HIV Infections&lt;/Keywords&gt;&lt;Keywords&gt;Humans&lt;/Keywords&gt;&lt;Keywords&gt;instrumentation&lt;/Keywords&gt;&lt;Keywords&gt;Kenya&lt;/Keywords&gt;&lt;Keywords&gt;Male&lt;/Keywords&gt;&lt;Keywords&gt;Patient Compliance&lt;/Keywords&gt;&lt;Keywords&gt;Reminder Systems&lt;/Keywords&gt;&lt;Keywords&gt;Rural Health&lt;/Keywords&gt;&lt;Keywords&gt;standards&lt;/Keywords&gt;&lt;Keywords&gt;therapeutic use&lt;/Keywords&gt;&lt;Reprint&gt;Not in File&lt;/Reprint&gt;&lt;Start_Page&gt;825&lt;/Start_Page&gt;&lt;End_Page&gt;834&lt;/End_Page&gt;&lt;Periodical&gt;AIDS&lt;/Periodical&gt;&lt;Volume&gt;25&lt;/Volume&gt;&lt;Issue&gt;6&lt;/Issue&gt;&lt;Address&gt;School of International and Public Affairs, Columbia University, New York, New York, USA&lt;/Address&gt;&lt;Web_URL&gt;PM:21252632&lt;/Web_URL&gt;&lt;ZZ_JournalStdAbbrev&gt;&lt;f name="System"&gt;AIDS&lt;/f&gt;&lt;/ZZ_JournalStdAbbrev&gt;&lt;ZZ_WorkformID&gt;1&lt;/ZZ_WorkformID&gt;&lt;/MDL&gt;&lt;/Cite&gt;&lt;/Refman&gt;</w:instrText>
      </w:r>
      <w:r w:rsidR="009B5648">
        <w:fldChar w:fldCharType="separate"/>
      </w:r>
      <w:r>
        <w:t>[17]</w:t>
      </w:r>
      <w:r w:rsidR="009B5648">
        <w:fldChar w:fldCharType="end"/>
      </w:r>
      <w:r>
        <w:t>.</w:t>
      </w:r>
      <w:r w:rsidRPr="00DA4F2D">
        <w:t xml:space="preserve"> Non-adherence in some cases partly believed to be due to individuals receiving no immediate benefit or change in their health status from the prescribed treatment</w:t>
      </w:r>
      <w:r>
        <w:t xml:space="preserve"> </w:t>
      </w:r>
      <w:r w:rsidR="009B5648">
        <w:fldChar w:fldCharType="begin"/>
      </w:r>
      <w:r>
        <w:instrText xml:space="preserve"> ADDIN REFMGR.CITE &lt;Refman&gt;&lt;Cite&gt;&lt;Author&gt;Ting&lt;/Author&gt;&lt;Year&gt;2012&lt;/Year&gt;&lt;RecNum&gt;5&lt;/RecNum&gt;&lt;IDText&gt;Usefulness of cellular text messaging for improving adherence among adolescents and young adults with systemic lupus erythematosus&lt;/IDText&gt;&lt;MDL Ref_Type="Journal"&gt;&lt;Ref_Type&gt;Journal&lt;/Ref_Type&gt;&lt;Ref_ID&gt;5&lt;/Ref_ID&gt;&lt;Title_Primary&gt;Usefulness of cellular text messaging for improving adherence among adolescents and young adults with systemic lupus erythematosus&lt;/Title_Primary&gt;&lt;Authors_Primary&gt;Ting,T.V.&lt;/Authors_Primary&gt;&lt;Authors_Primary&gt;Kudalkar,D.&lt;/Authors_Primary&gt;&lt;Authors_Primary&gt;Nelson,S.&lt;/Authors_Primary&gt;&lt;Authors_Primary&gt;Cortina,S.&lt;/Authors_Primary&gt;&lt;Authors_Primary&gt;Pendl,J.&lt;/Authors_Primary&gt;&lt;Authors_Primary&gt;Budhani,S.&lt;/Authors_Primary&gt;&lt;Authors_Primary&gt;Neville,J.&lt;/Authors_Primary&gt;&lt;Authors_Primary&gt;Taylor,J.&lt;/Authors_Primary&gt;&lt;Authors_Primary&gt;Huggins,J.&lt;/Authors_Primary&gt;&lt;Authors_Primary&gt;Drotar,D.&lt;/Authors_Primary&gt;&lt;Authors_Primary&gt;Brunner,H.I.&lt;/Authors_Primary&gt;&lt;Date_Primary&gt;2012/1&lt;/Date_Primary&gt;&lt;Keywords&gt;Adolescent&lt;/Keywords&gt;&lt;Keywords&gt;Adult&lt;/Keywords&gt;&lt;Keywords&gt;Ambulatory Care Facilities&lt;/Keywords&gt;&lt;Keywords&gt;Antirheumatic Agents&lt;/Keywords&gt;&lt;Keywords&gt;blood&lt;/Keywords&gt;&lt;Keywords&gt;drug therapy&lt;/Keywords&gt;&lt;Keywords&gt;education&lt;/Keywords&gt;&lt;Keywords&gt;Female&lt;/Keywords&gt;&lt;Keywords&gt;Humans&lt;/Keywords&gt;&lt;Keywords&gt;Hydroxychloroquine&lt;/Keywords&gt;&lt;Keywords&gt;Lupus Erythematosus,Systemic&lt;/Keywords&gt;&lt;Keywords&gt;Male&lt;/Keywords&gt;&lt;Keywords&gt;Medication Adherence&lt;/Keywords&gt;&lt;Keywords&gt;methods&lt;/Keywords&gt;&lt;Keywords&gt;Patient Compliance&lt;/Keywords&gt;&lt;Keywords&gt;physiopathology&lt;/Keywords&gt;&lt;Keywords&gt;Questionnaires&lt;/Keywords&gt;&lt;Keywords&gt;Text Messaging&lt;/Keywords&gt;&lt;Keywords&gt;therapeutic use&lt;/Keywords&gt;&lt;Keywords&gt;Young Adult&lt;/Keywords&gt;&lt;Reprint&gt;Not in File&lt;/Reprint&gt;&lt;Start_Page&gt;174&lt;/Start_Page&gt;&lt;End_Page&gt;179&lt;/End_Page&gt;&lt;Periodical&gt;J.Rheumatol.&lt;/Periodical&gt;&lt;Volume&gt;39&lt;/Volume&gt;&lt;Issue&gt;1&lt;/Issue&gt;&lt;Address&gt;Cincinnati Children&amp;apos;s Hospital Medical Center, William Rowe Division of Rheumatology, MLC 4010, 3333 Burnet Avenue, Cincinnati, OH 45229-3039, USA. tracy.ting@cchmc.org&lt;/Address&gt;&lt;Web_URL&gt;PM:22089460&lt;/Web_URL&gt;&lt;ZZ_JournalStdAbbrev&gt;&lt;f name="System"&gt;J.Rheumatol.&lt;/f&gt;&lt;/ZZ_JournalStdAbbrev&gt;&lt;ZZ_WorkformID&gt;1&lt;/ZZ_WorkformID&gt;&lt;/MDL&gt;&lt;/Cite&gt;&lt;/Refman&gt;</w:instrText>
      </w:r>
      <w:r w:rsidR="009B5648">
        <w:fldChar w:fldCharType="separate"/>
      </w:r>
      <w:r>
        <w:t>[20]</w:t>
      </w:r>
      <w:r w:rsidR="009B5648">
        <w:fldChar w:fldCharType="end"/>
      </w:r>
      <w:r w:rsidRPr="00DA4F2D">
        <w:t>.</w:t>
      </w:r>
      <w:r w:rsidRPr="00DA4F2D">
        <w:rPr>
          <w:color w:val="FF0000"/>
        </w:rPr>
        <w:t xml:space="preserve"> </w:t>
      </w:r>
      <w:r w:rsidRPr="00DA4F2D">
        <w:t>Messages sent at the same time/s daily for an extended time are considered by some to take on the function of an alarm clock reminder</w:t>
      </w:r>
      <w:r>
        <w:t xml:space="preserve"> system</w:t>
      </w:r>
      <w:r w:rsidRPr="00DA4F2D">
        <w:t>.</w:t>
      </w:r>
      <w:r w:rsidRPr="00DA4F2D">
        <w:rPr>
          <w:color w:val="FF0000"/>
        </w:rPr>
        <w:t xml:space="preserve"> </w:t>
      </w:r>
      <w:r w:rsidRPr="00DA4F2D">
        <w:t>Some individuals may become reliant on an SMS to prompt them taking treatment and it is possible that habituation will result</w:t>
      </w:r>
      <w:r>
        <w:t xml:space="preserve"> </w:t>
      </w:r>
      <w:r w:rsidR="009B5648">
        <w:fldChar w:fldCharType="begin"/>
      </w:r>
      <w:r>
        <w:instrText xml:space="preserve"> ADDIN REFMGR.CITE &lt;Refman&gt;&lt;Cite&gt;&lt;Author&gt;Strandbygaard&lt;/Author&gt;&lt;Year&gt;2010&lt;/Year&gt;&lt;RecNum&gt;4&lt;/RecNum&gt;&lt;IDText&gt;A daily SMS reminder increases adherence to asthma treatment: a three-month follow-up study&lt;/IDText&gt;&lt;MDL Ref_Type="Journal"&gt;&lt;Ref_Type&gt;Journal&lt;/Ref_Type&gt;&lt;Ref_ID&gt;4&lt;/Ref_ID&gt;&lt;Title_Primary&gt;A daily SMS reminder increases adherence to asthma treatment: a three-month follow-up study&lt;/Title_Primary&gt;&lt;Authors_Primary&gt;Strandbygaard,U.&lt;/Authors_Primary&gt;&lt;Authors_Primary&gt;Thomsen,S.F.&lt;/Authors_Primary&gt;&lt;Authors_Primary&gt;Backer,V.&lt;/Authors_Primary&gt;&lt;Date_Primary&gt;2010/2&lt;/Date_Primary&gt;&lt;Keywords&gt;Adolescent&lt;/Keywords&gt;&lt;Keywords&gt;Adult&lt;/Keywords&gt;&lt;Keywords&gt;Anti-Asthmatic Agents&lt;/Keywords&gt;&lt;Keywords&gt;Asthma&lt;/Keywords&gt;&lt;Keywords&gt;Cellular Phone&lt;/Keywords&gt;&lt;Keywords&gt;drug therapy&lt;/Keywords&gt;&lt;Keywords&gt;Female&lt;/Keywords&gt;&lt;Keywords&gt;Follow-Up Studies&lt;/Keywords&gt;&lt;Keywords&gt;Humans&lt;/Keywords&gt;&lt;Keywords&gt;Male&lt;/Keywords&gt;&lt;Keywords&gt;Medication Adherence&lt;/Keywords&gt;&lt;Keywords&gt;methods&lt;/Keywords&gt;&lt;Keywords&gt;Middle Aged&lt;/Keywords&gt;&lt;Keywords&gt;psychology&lt;/Keywords&gt;&lt;Keywords&gt;Reminder Systems&lt;/Keywords&gt;&lt;Keywords&gt;Respiratory Function Tests&lt;/Keywords&gt;&lt;Keywords&gt;statistics &amp;amp; numerical data&lt;/Keywords&gt;&lt;Keywords&gt;therapeutic use&lt;/Keywords&gt;&lt;Keywords&gt;Treatment Outcome&lt;/Keywords&gt;&lt;Keywords&gt;Young Adult&lt;/Keywords&gt;&lt;Reprint&gt;Not in File&lt;/Reprint&gt;&lt;Start_Page&gt;166&lt;/Start_Page&gt;&lt;End_Page&gt;171&lt;/End_Page&gt;&lt;Periodical&gt;Respir.Med.&lt;/Periodical&gt;&lt;Volume&gt;104&lt;/Volume&gt;&lt;Issue&gt;2&lt;/Issue&gt;&lt;Address&gt;Department of Respiratory Medicine, Bispebjerg Hospital, Copenhagen NV, Denmark&lt;/Address&gt;&lt;Web_URL&gt;PM:19854632&lt;/Web_URL&gt;&lt;ZZ_JournalStdAbbrev&gt;&lt;f name="System"&gt;Respir.Med.&lt;/f&gt;&lt;/ZZ_JournalStdAbbrev&gt;&lt;ZZ_WorkformID&gt;1&lt;/ZZ_WorkformID&gt;&lt;/MDL&gt;&lt;/Cite&gt;&lt;/Refman&gt;</w:instrText>
      </w:r>
      <w:r w:rsidR="009B5648">
        <w:fldChar w:fldCharType="separate"/>
      </w:r>
      <w:r>
        <w:t>[19]</w:t>
      </w:r>
      <w:r w:rsidR="009B5648">
        <w:fldChar w:fldCharType="end"/>
      </w:r>
      <w:r>
        <w:t>.</w:t>
      </w:r>
    </w:p>
    <w:p w:rsidR="00BA6265" w:rsidRPr="00DA4F2D" w:rsidRDefault="00BA6265" w:rsidP="00660039"/>
    <w:p w:rsidR="00BA6265" w:rsidRPr="00DA4F2D" w:rsidRDefault="00BA6265" w:rsidP="00660039">
      <w:pPr>
        <w:rPr>
          <w:color w:val="FF0000"/>
        </w:rPr>
      </w:pPr>
      <w:r w:rsidRPr="00DA4F2D">
        <w:t>A two-way SMS communication system that provides for patients being able to respond to or initiate messages is considered to promote better adherence and attendance</w:t>
      </w:r>
      <w:r>
        <w:t xml:space="preserve"> </w:t>
      </w:r>
      <w:r w:rsidR="009B5648">
        <w:fldChar w:fldCharType="begin"/>
      </w:r>
      <w:r>
        <w:instrText xml:space="preserve"> ADDIN REFMGR.CITE &lt;Refman&gt;&lt;Cite&gt;&lt;Author&gt;Mulvaney&lt;/Author&gt;&lt;Year&gt;2011&lt;/Year&gt;&lt;RecNum&gt;9&lt;/RecNum&gt;&lt;IDText&gt;Mobile intervention design in diabetes: review and recommendations&lt;/IDText&gt;&lt;MDL Ref_Type="Journal"&gt;&lt;Ref_Type&gt;Journal&lt;/Ref_Type&gt;&lt;Ref_ID&gt;9&lt;/Ref_ID&gt;&lt;Title_Primary&gt;Mobile intervention design in diabetes: review and recommendations&lt;/Title_Primary&gt;&lt;Authors_Primary&gt;Mulvaney,S.A.&lt;/Authors_Primary&gt;&lt;Authors_Primary&gt;Ritterband,L.M.&lt;/Authors_Primary&gt;&lt;Authors_Primary&gt;Bosslet,L.&lt;/Authors_Primary&gt;&lt;Date_Primary&gt;2011/12&lt;/Date_Primary&gt;&lt;Keywords&gt;Cellular Phone&lt;/Keywords&gt;&lt;Keywords&gt;Diabetes Mellitus&lt;/Keywords&gt;&lt;Keywords&gt;education&lt;/Keywords&gt;&lt;Keywords&gt;Hemoglobin A,Glycosylated&lt;/Keywords&gt;&lt;Keywords&gt;Humans&lt;/Keywords&gt;&lt;Keywords&gt;metabolism&lt;/Keywords&gt;&lt;Keywords&gt;Patient Education as Topic&lt;/Keywords&gt;&lt;Keywords&gt;Self Care&lt;/Keywords&gt;&lt;Reprint&gt;Not in File&lt;/Reprint&gt;&lt;Start_Page&gt;486&lt;/Start_Page&gt;&lt;End_Page&gt;493&lt;/End_Page&gt;&lt;Periodical&gt;Curr.Diab.Rep.&lt;/Periodical&gt;&lt;Volume&gt;11&lt;/Volume&gt;&lt;Issue&gt;6&lt;/Issue&gt;&lt;Address&gt;School of Nursing, Pediatrics, &amp;amp; Biomedical Informatics, Vanderbilt University Medical Center, Nashville, TN 37240, USA. shelagh.mulvaney@vanderbilt.edu&lt;/Address&gt;&lt;Web_URL&gt;PM:21960031&lt;/Web_URL&gt;&lt;ZZ_JournalStdAbbrev&gt;&lt;f name="System"&gt;Curr.Diab.Rep.&lt;/f&gt;&lt;/ZZ_JournalStdAbbrev&gt;&lt;ZZ_WorkformID&gt;1&lt;/ZZ_WorkformID&gt;&lt;/MDL&gt;&lt;/Cite&gt;&lt;/Refman&gt;</w:instrText>
      </w:r>
      <w:r w:rsidR="009B5648">
        <w:fldChar w:fldCharType="separate"/>
      </w:r>
      <w:r>
        <w:t>[28]</w:t>
      </w:r>
      <w:r w:rsidR="009B5648">
        <w:fldChar w:fldCharType="end"/>
      </w:r>
      <w:r>
        <w:t>.</w:t>
      </w:r>
      <w:r w:rsidRPr="00DA4F2D">
        <w:t xml:space="preserve"> Interactive messaging is considered to provide a cost effective and practical alternative for communication between health providers and patients in between appointments</w:t>
      </w:r>
      <w:r>
        <w:t xml:space="preserve"> </w:t>
      </w:r>
      <w:r w:rsidR="009B5648">
        <w:fldChar w:fldCharType="begin"/>
      </w:r>
      <w:r>
        <w:instrText xml:space="preserve"> ADDIN REFMGR.CITE &lt;Refman&gt;&lt;Cite&gt;&lt;Author&gt;Lester&lt;/Author&gt;&lt;Year&gt;2010&lt;/Year&gt;&lt;RecNum&gt;6&lt;/RecNum&gt;&lt;IDText&gt;Effects of a mobile phone short message service on antiretroviral treatment adherence in Kenya (WelTel Kenya1): a randomised trial&lt;/IDText&gt;&lt;MDL Ref_Type="Journal"&gt;&lt;Ref_Type&gt;Journal&lt;/Ref_Type&gt;&lt;Ref_ID&gt;6&lt;/Ref_ID&gt;&lt;Title_Primary&gt;Effects of a mobile phone short message service on antiretroviral treatment adherence in Kenya (WelTel Kenya1): a randomised trial&lt;/Title_Primary&gt;&lt;Authors_Primary&gt;Lester,R.T.&lt;/Authors_Primary&gt;&lt;Authors_Primary&gt;Ritvo,P.&lt;/Authors_Primary&gt;&lt;Authors_Primary&gt;Mills,E.J.&lt;/Authors_Primary&gt;&lt;Authors_Primary&gt;Kariri,A.&lt;/Authors_Primary&gt;&lt;Authors_Primary&gt;Karanja,S.&lt;/Authors_Primary&gt;&lt;Authors_Primary&gt;Chung,M.H.&lt;/Authors_Primary&gt;&lt;Authors_Primary&gt;Jack,W.&lt;/Authors_Primary&gt;&lt;Authors_Primary&gt;Habyarimana,J.&lt;/Authors_Primary&gt;&lt;Authors_Primary&gt;Sadatsafavi,M.&lt;/Authors_Primary&gt;&lt;Authors_Primary&gt;Najafzadeh,M.&lt;/Authors_Primary&gt;&lt;Authors_Primary&gt;Marra,C.A.&lt;/Authors_Primary&gt;&lt;Authors_Primary&gt;Estambale,B.&lt;/Authors_Primary&gt;&lt;Authors_Primary&gt;Ngugi,E.&lt;/Authors_Primary&gt;&lt;Authors_Primary&gt;Ball,T.B.&lt;/Authors_Primary&gt;&lt;Authors_Primary&gt;Thabane,L.&lt;/Authors_Primary&gt;&lt;Authors_Primary&gt;Gelmon,L.J.&lt;/Authors_Primary&gt;&lt;Authors_Primary&gt;Kimani,J.&lt;/Authors_Primary&gt;&lt;Authors_Primary&gt;Ackers,M.&lt;/Authors_Primary&gt;&lt;Authors_Primary&gt;Plummer,F.A.&lt;/Authors_Primary&gt;&lt;Date_Primary&gt;2010/11/27&lt;/Date_Primary&gt;&lt;Keywords&gt;Acquired Immunodeficiency Syndrome&lt;/Keywords&gt;&lt;Keywords&gt;administration &amp;amp; dosage&lt;/Keywords&gt;&lt;Keywords&gt;Adult&lt;/Keywords&gt;&lt;Keywords&gt;Aged&lt;/Keywords&gt;&lt;Keywords&gt;Aged,80 and over&lt;/Keywords&gt;&lt;Keywords&gt;Anti-HIV Agents&lt;/Keywords&gt;&lt;Keywords&gt;blood&lt;/Keywords&gt;&lt;Keywords&gt;Cellular Phone&lt;/Keywords&gt;&lt;Keywords&gt;drug effects&lt;/Keywords&gt;&lt;Keywords&gt;drug therapy&lt;/Keywords&gt;&lt;Keywords&gt;Female&lt;/Keywords&gt;&lt;Keywords&gt;genetics&lt;/Keywords&gt;&lt;Keywords&gt;Health Personnel&lt;/Keywords&gt;&lt;Keywords&gt;HIV Infections&lt;/Keywords&gt;&lt;Keywords&gt;Hiv-1&lt;/Keywords&gt;&lt;Keywords&gt;Humans&lt;/Keywords&gt;&lt;Keywords&gt;isolation &amp;amp; purification&lt;/Keywords&gt;&lt;Keywords&gt;Kenya&lt;/Keywords&gt;&lt;Keywords&gt;Male&lt;/Keywords&gt;&lt;Keywords&gt;Medication Adherence&lt;/Keywords&gt;&lt;Keywords&gt;methods&lt;/Keywords&gt;&lt;Keywords&gt;Middle Aged&lt;/Keywords&gt;&lt;Keywords&gt;Odds Ratio&lt;/Keywords&gt;&lt;Keywords&gt;Persuasive Communication&lt;/Keywords&gt;&lt;Keywords&gt;Rna,Viral&lt;/Keywords&gt;&lt;Keywords&gt;Treatment Outcome&lt;/Keywords&gt;&lt;Keywords&gt;Viral Load&lt;/Keywords&gt;&lt;Reprint&gt;Not in File&lt;/Reprint&gt;&lt;Start_Page&gt;1838&lt;/Start_Page&gt;&lt;End_Page&gt;1845&lt;/End_Page&gt;&lt;Periodical&gt;Lancet&lt;/Periodical&gt;&lt;Volume&gt;376&lt;/Volume&gt;&lt;Issue&gt;9755&lt;/Issue&gt;&lt;Address&gt;Department of Medical Microbiology, University of Nairobi, Nairobi, Kenya. rlester.id@gmail.com&lt;/Address&gt;&lt;Web_URL&gt;PM:21071074&lt;/Web_URL&gt;&lt;ZZ_JournalStdAbbrev&gt;&lt;f name="System"&gt;Lancet&lt;/f&gt;&lt;/ZZ_JournalStdAbbrev&gt;&lt;ZZ_WorkformID&gt;1&lt;/ZZ_WorkformID&gt;&lt;/MDL&gt;&lt;/Cite&gt;&lt;Cite&gt;&lt;Author&gt;Mulvaney&lt;/Author&gt;&lt;Year&gt;2011&lt;/Year&gt;&lt;RecNum&gt;9&lt;/RecNum&gt;&lt;IDText&gt;Mobile intervention design in diabetes: review and recommendations&lt;/IDText&gt;&lt;MDL Ref_Type="Journal"&gt;&lt;Ref_Type&gt;Journal&lt;/Ref_Type&gt;&lt;Ref_ID&gt;9&lt;/Ref_ID&gt;&lt;Title_Primary&gt;Mobile intervention design in diabetes: review and recommendations&lt;/Title_Primary&gt;&lt;Authors_Primary&gt;Mulvaney,S.A.&lt;/Authors_Primary&gt;&lt;Authors_Primary&gt;Ritterband,L.M.&lt;/Authors_Primary&gt;&lt;Authors_Primary&gt;Bosslet,L.&lt;/Authors_Primary&gt;&lt;Date_Primary&gt;2011/12&lt;/Date_Primary&gt;&lt;Keywords&gt;Cellular Phone&lt;/Keywords&gt;&lt;Keywords&gt;Diabetes Mellitus&lt;/Keywords&gt;&lt;Keywords&gt;education&lt;/Keywords&gt;&lt;Keywords&gt;Hemoglobin A,Glycosylated&lt;/Keywords&gt;&lt;Keywords&gt;Humans&lt;/Keywords&gt;&lt;Keywords&gt;metabolism&lt;/Keywords&gt;&lt;Keywords&gt;Patient Education as Topic&lt;/Keywords&gt;&lt;Keywords&gt;Self Care&lt;/Keywords&gt;&lt;Reprint&gt;Not in File&lt;/Reprint&gt;&lt;Start_Page&gt;486&lt;/Start_Page&gt;&lt;End_Page&gt;493&lt;/End_Page&gt;&lt;Periodical&gt;Curr.Diab.Rep.&lt;/Periodical&gt;&lt;Volume&gt;11&lt;/Volume&gt;&lt;Issue&gt;6&lt;/Issue&gt;&lt;Address&gt;School of Nursing, Pediatrics, &amp;amp; Biomedical Informatics, Vanderbilt University Medical Center, Nashville, TN 37240, USA. shelagh.mulvaney@vanderbilt.edu&lt;/Address&gt;&lt;Web_URL&gt;PM:21960031&lt;/Web_URL&gt;&lt;ZZ_JournalStdAbbrev&gt;&lt;f name="System"&gt;Curr.Diab.Rep.&lt;/f&gt;&lt;/ZZ_JournalStdAbbrev&gt;&lt;ZZ_WorkformID&gt;1&lt;/ZZ_WorkformID&gt;&lt;/MDL&gt;&lt;/Cite&gt;&lt;/Refman&gt;</w:instrText>
      </w:r>
      <w:r w:rsidR="009B5648">
        <w:fldChar w:fldCharType="separate"/>
      </w:r>
      <w:r>
        <w:t>[28,29]</w:t>
      </w:r>
      <w:r w:rsidR="009B5648">
        <w:fldChar w:fldCharType="end"/>
      </w:r>
      <w:r>
        <w:t>.</w:t>
      </w:r>
      <w:r w:rsidRPr="00DA4F2D">
        <w:rPr>
          <w:color w:val="FF0000"/>
        </w:rPr>
        <w:t xml:space="preserve"> </w:t>
      </w:r>
      <w:r w:rsidRPr="00DA4F2D">
        <w:t>In some cases it is considered to provide an additional means of social support</w:t>
      </w:r>
      <w:r>
        <w:t xml:space="preserve"> </w:t>
      </w:r>
      <w:r w:rsidR="009B5648">
        <w:fldChar w:fldCharType="begin"/>
      </w:r>
      <w:r>
        <w:instrText xml:space="preserve"> ADDIN REFMGR.CITE &lt;Refman&gt;&lt;Cite&gt;&lt;Author&gt;Lester&lt;/Author&gt;&lt;Year&gt;2010&lt;/Year&gt;&lt;RecNum&gt;6&lt;/RecNum&gt;&lt;IDText&gt;Effects of a mobile phone short message service on antiretroviral treatment adherence in Kenya (WelTel Kenya1): a randomised trial&lt;/IDText&gt;&lt;MDL Ref_Type="Journal"&gt;&lt;Ref_Type&gt;Journal&lt;/Ref_Type&gt;&lt;Ref_ID&gt;6&lt;/Ref_ID&gt;&lt;Title_Primary&gt;Effects of a mobile phone short message service on antiretroviral treatment adherence in Kenya (WelTel Kenya1): a randomised trial&lt;/Title_Primary&gt;&lt;Authors_Primary&gt;Lester,R.T.&lt;/Authors_Primary&gt;&lt;Authors_Primary&gt;Ritvo,P.&lt;/Authors_Primary&gt;&lt;Authors_Primary&gt;Mills,E.J.&lt;/Authors_Primary&gt;&lt;Authors_Primary&gt;Kariri,A.&lt;/Authors_Primary&gt;&lt;Authors_Primary&gt;Karanja,S.&lt;/Authors_Primary&gt;&lt;Authors_Primary&gt;Chung,M.H.&lt;/Authors_Primary&gt;&lt;Authors_Primary&gt;Jack,W.&lt;/Authors_Primary&gt;&lt;Authors_Primary&gt;Habyarimana,J.&lt;/Authors_Primary&gt;&lt;Authors_Primary&gt;Sadatsafavi,M.&lt;/Authors_Primary&gt;&lt;Authors_Primary&gt;Najafzadeh,M.&lt;/Authors_Primary&gt;&lt;Authors_Primary&gt;Marra,C.A.&lt;/Authors_Primary&gt;&lt;Authors_Primary&gt;Estambale,B.&lt;/Authors_Primary&gt;&lt;Authors_Primary&gt;Ngugi,E.&lt;/Authors_Primary&gt;&lt;Authors_Primary&gt;Ball,T.B.&lt;/Authors_Primary&gt;&lt;Authors_Primary&gt;Thabane,L.&lt;/Authors_Primary&gt;&lt;Authors_Primary&gt;Gelmon,L.J.&lt;/Authors_Primary&gt;&lt;Authors_Primary&gt;Kimani,J.&lt;/Authors_Primary&gt;&lt;Authors_Primary&gt;Ackers,M.&lt;/Authors_Primary&gt;&lt;Authors_Primary&gt;Plummer,F.A.&lt;/Authors_Primary&gt;&lt;Date_Primary&gt;2010/11/27&lt;/Date_Primary&gt;&lt;Keywords&gt;Acquired Immunodeficiency Syndrome&lt;/Keywords&gt;&lt;Keywords&gt;administration &amp;amp; dosage&lt;/Keywords&gt;&lt;Keywords&gt;Adult&lt;/Keywords&gt;&lt;Keywords&gt;Aged&lt;/Keywords&gt;&lt;Keywords&gt;Aged,80 and over&lt;/Keywords&gt;&lt;Keywords&gt;Anti-HIV Agents&lt;/Keywords&gt;&lt;Keywords&gt;blood&lt;/Keywords&gt;&lt;Keywords&gt;Cellular Phone&lt;/Keywords&gt;&lt;Keywords&gt;drug effects&lt;/Keywords&gt;&lt;Keywords&gt;drug therapy&lt;/Keywords&gt;&lt;Keywords&gt;Female&lt;/Keywords&gt;&lt;Keywords&gt;genetics&lt;/Keywords&gt;&lt;Keywords&gt;Health Personnel&lt;/Keywords&gt;&lt;Keywords&gt;HIV Infections&lt;/Keywords&gt;&lt;Keywords&gt;Hiv-1&lt;/Keywords&gt;&lt;Keywords&gt;Humans&lt;/Keywords&gt;&lt;Keywords&gt;isolation &amp;amp; purification&lt;/Keywords&gt;&lt;Keywords&gt;Kenya&lt;/Keywords&gt;&lt;Keywords&gt;Male&lt;/Keywords&gt;&lt;Keywords&gt;Medication Adherence&lt;/Keywords&gt;&lt;Keywords&gt;methods&lt;/Keywords&gt;&lt;Keywords&gt;Middle Aged&lt;/Keywords&gt;&lt;Keywords&gt;Odds Ratio&lt;/Keywords&gt;&lt;Keywords&gt;Persuasive Communication&lt;/Keywords&gt;&lt;Keywords&gt;Rna,Viral&lt;/Keywords&gt;&lt;Keywords&gt;Treatment Outcome&lt;/Keywords&gt;&lt;Keywords&gt;Viral Load&lt;/Keywords&gt;&lt;Reprint&gt;Not in File&lt;/Reprint&gt;&lt;Start_Page&gt;1838&lt;/Start_Page&gt;&lt;End_Page&gt;1845&lt;/End_Page&gt;&lt;Periodical&gt;Lancet&lt;/Periodical&gt;&lt;Volume&gt;376&lt;/Volume&gt;&lt;Issue&gt;9755&lt;/Issue&gt;&lt;Address&gt;Department of Medical Microbiology, University of Nairobi, Nairobi, Kenya. rlester.id@gmail.com&lt;/Address&gt;&lt;Web_URL&gt;PM:21071074&lt;/Web_URL&gt;&lt;ZZ_JournalStdAbbrev&gt;&lt;f name="System"&gt;Lancet&lt;/f&gt;&lt;/ZZ_JournalStdAbbrev&gt;&lt;ZZ_WorkformID&gt;1&lt;/ZZ_WorkformID&gt;&lt;/MDL&gt;&lt;/Cite&gt;&lt;/Refman&gt;</w:instrText>
      </w:r>
      <w:r w:rsidR="009B5648">
        <w:fldChar w:fldCharType="separate"/>
      </w:r>
      <w:r>
        <w:t>[29]</w:t>
      </w:r>
      <w:r w:rsidR="009B5648">
        <w:fldChar w:fldCharType="end"/>
      </w:r>
      <w:r>
        <w:t>.</w:t>
      </w:r>
    </w:p>
    <w:p w:rsidR="00BA6265" w:rsidRPr="00DA4F2D" w:rsidRDefault="00BA6265" w:rsidP="00660039">
      <w:pPr>
        <w:rPr>
          <w:color w:val="FF0000"/>
        </w:rPr>
      </w:pPr>
    </w:p>
    <w:p w:rsidR="00BA6265" w:rsidRPr="00DA4F2D" w:rsidRDefault="00BA6265" w:rsidP="00660039">
      <w:r w:rsidRPr="00DA4F2D">
        <w:t>The technology that support</w:t>
      </w:r>
      <w:r>
        <w:t>s</w:t>
      </w:r>
      <w:r w:rsidRPr="00DA4F2D">
        <w:t xml:space="preserve"> mobile communications is not always reliable</w:t>
      </w:r>
      <w:r>
        <w:t xml:space="preserve"> </w:t>
      </w:r>
      <w:r w:rsidR="009B5648">
        <w:fldChar w:fldCharType="begin"/>
      </w:r>
      <w:r>
        <w:instrText xml:space="preserve"> ADDIN REFMGR.CITE &lt;Refman&gt;&lt;Cite&gt;&lt;Author&gt;Miloh&lt;/Author&gt;&lt;Year&gt;2009&lt;/Year&gt;&lt;RecNum&gt;17&lt;/RecNum&gt;&lt;IDText&gt;Improved adherence and outcomes for pediatric liver transplant recipients by using text messaging&lt;/IDText&gt;&lt;MDL Ref_Type="Journal"&gt;&lt;Ref_Type&gt;Journal&lt;/Ref_Type&gt;&lt;Ref_ID&gt;17&lt;/Ref_ID&gt;&lt;Title_Primary&gt;Improved adherence and outcomes for pediatric liver transplant recipients by using text messaging&lt;/Title_Primary&gt;&lt;Authors_Primary&gt;Miloh,T.&lt;/Authors_Primary&gt;&lt;Authors_Primary&gt;Annunziato,R.&lt;/Authors_Primary&gt;&lt;Authors_Primary&gt;Arnon,R.&lt;/Authors_Primary&gt;&lt;Authors_Primary&gt;Warshaw,J.&lt;/Authors_Primary&gt;&lt;Authors_Primary&gt;Parkar,S.&lt;/Authors_Primary&gt;&lt;Authors_Primary&gt;Suchy,F.J.&lt;/Authors_Primary&gt;&lt;Authors_Primary&gt;Iyer,K.&lt;/Authors_Primary&gt;&lt;Authors_Primary&gt;Kerkar,N.&lt;/Authors_Primary&gt;&lt;Date_Primary&gt;2009/11&lt;/Date_Primary&gt;&lt;Keywords&gt;administration &amp;amp; dosage&lt;/Keywords&gt;&lt;Keywords&gt;Adolescent&lt;/Keywords&gt;&lt;Keywords&gt;Caregivers&lt;/Keywords&gt;&lt;Keywords&gt;Cellular Phone&lt;/Keywords&gt;&lt;Keywords&gt;Child&lt;/Keywords&gt;&lt;Keywords&gt;Child,Preschool&lt;/Keywords&gt;&lt;Keywords&gt;Female&lt;/Keywords&gt;&lt;Keywords&gt;Graft Rejection&lt;/Keywords&gt;&lt;Keywords&gt;Humans&lt;/Keywords&gt;&lt;Keywords&gt;Immunosuppressive Agents&lt;/Keywords&gt;&lt;Keywords&gt;Infant&lt;/Keywords&gt;&lt;Keywords&gt;Liver Transplantation&lt;/Keywords&gt;&lt;Keywords&gt;Male&lt;/Keywords&gt;&lt;Keywords&gt;Medication Adherence&lt;/Keywords&gt;&lt;Keywords&gt;methods&lt;/Keywords&gt;&lt;Keywords&gt;Patient Dropouts&lt;/Keywords&gt;&lt;Keywords&gt;pharmacokinetics&lt;/Keywords&gt;&lt;Keywords&gt;prevention &amp;amp; control&lt;/Keywords&gt;&lt;Keywords&gt;Prospective Studies&lt;/Keywords&gt;&lt;Keywords&gt;Tacrolimus&lt;/Keywords&gt;&lt;Keywords&gt;Text Messaging&lt;/Keywords&gt;&lt;Keywords&gt;Young Adult&lt;/Keywords&gt;&lt;Reprint&gt;Not in File&lt;/Reprint&gt;&lt;Start_Page&gt;e844&lt;/Start_Page&gt;&lt;End_Page&gt;e850&lt;/End_Page&gt;&lt;Periodical&gt;Pediatrics&lt;/Periodical&gt;&lt;Volume&gt;124&lt;/Volume&gt;&lt;Issue&gt;5&lt;/Issue&gt;&lt;Address&gt;Department of Pediatrics, Recanati Miller Transplant Institute, Mount Sinai Hospital, New York, New York 10029, USA. tamir.miloh@mountsinai.org&lt;/Address&gt;&lt;Web_URL&gt;PM:19822583&lt;/Web_URL&gt;&lt;ZZ_JournalStdAbbrev&gt;&lt;f name="System"&gt;Pediatrics&lt;/f&gt;&lt;/ZZ_JournalStdAbbrev&gt;&lt;ZZ_WorkformID&gt;1&lt;/ZZ_WorkformID&gt;&lt;/MDL&gt;&lt;/Cite&gt;&lt;Cite&gt;&lt;Author&gt;Pop-Eleches&lt;/Author&gt;&lt;Year&gt;2011&lt;/Year&gt;&lt;RecNum&gt;2&lt;/RecNum&gt;&lt;IDText&gt;Mobile phone technologies improve adherence to antiretroviral treatment in a resource-limited setting: a randomized controlled trial of text message reminders&lt;/IDText&gt;&lt;MDL Ref_Type="Journal"&gt;&lt;Ref_Type&gt;Journal&lt;/Ref_Type&gt;&lt;Ref_ID&gt;2&lt;/Ref_ID&gt;&lt;Title_Primary&gt;Mobile phone technologies improve adherence to antiretroviral treatment in a resource-limited setting: a randomized controlled trial of text message reminders&lt;/Title_Primary&gt;&lt;Authors_Primary&gt;Pop-Eleches,C.&lt;/Authors_Primary&gt;&lt;Authors_Primary&gt;Thirumurthy,H.&lt;/Authors_Primary&gt;&lt;Authors_Primary&gt;Habyarimana,J.P.&lt;/Authors_Primary&gt;&lt;Authors_Primary&gt;Zivin,J.G.&lt;/Authors_Primary&gt;&lt;Authors_Primary&gt;Goldstein,M.P.&lt;/Authors_Primary&gt;&lt;Authors_Primary&gt;de,Walque D.&lt;/Authors_Primary&gt;&lt;Authors_Primary&gt;MacKeen,L.&lt;/Authors_Primary&gt;&lt;Authors_Primary&gt;Haberer,J.&lt;/Authors_Primary&gt;&lt;Authors_Primary&gt;Kimaiyo,S.&lt;/Authors_Primary&gt;&lt;Authors_Primary&gt;Sidle,J.&lt;/Authors_Primary&gt;&lt;Authors_Primary&gt;Ngare,D.&lt;/Authors_Primary&gt;&lt;Authors_Primary&gt;Bangsberg,D.R.&lt;/Authors_Primary&gt;&lt;Date_Primary&gt;2011/3/27&lt;/Date_Primary&gt;&lt;Keywords&gt;Adult&lt;/Keywords&gt;&lt;Keywords&gt;Anti-Retroviral Agents&lt;/Keywords&gt;&lt;Keywords&gt;Cellular Phone&lt;/Keywords&gt;&lt;Keywords&gt;drug therapy&lt;/Keywords&gt;&lt;Keywords&gt;Female&lt;/Keywords&gt;&lt;Keywords&gt;Health Services Accessibility&lt;/Keywords&gt;&lt;Keywords&gt;HIV Infections&lt;/Keywords&gt;&lt;Keywords&gt;Humans&lt;/Keywords&gt;&lt;Keywords&gt;instrumentation&lt;/Keywords&gt;&lt;Keywords&gt;Kenya&lt;/Keywords&gt;&lt;Keywords&gt;Male&lt;/Keywords&gt;&lt;Keywords&gt;Patient Compliance&lt;/Keywords&gt;&lt;Keywords&gt;Reminder Systems&lt;/Keywords&gt;&lt;Keywords&gt;Rural Health&lt;/Keywords&gt;&lt;Keywords&gt;standards&lt;/Keywords&gt;&lt;Keywords&gt;therapeutic use&lt;/Keywords&gt;&lt;Reprint&gt;Not in File&lt;/Reprint&gt;&lt;Start_Page&gt;825&lt;/Start_Page&gt;&lt;End_Page&gt;834&lt;/End_Page&gt;&lt;Periodical&gt;AIDS&lt;/Periodical&gt;&lt;Volume&gt;25&lt;/Volume&gt;&lt;Issue&gt;6&lt;/Issue&gt;&lt;Address&gt;School of International and Public Affairs, Columbia University, New York, New York, USA&lt;/Address&gt;&lt;Web_URL&gt;PM:21252632&lt;/Web_URL&gt;&lt;ZZ_JournalStdAbbrev&gt;&lt;f name="System"&gt;AIDS&lt;/f&gt;&lt;/ZZ_JournalStdAbbrev&gt;&lt;ZZ_WorkformID&gt;1&lt;/ZZ_WorkformID&gt;&lt;/MDL&gt;&lt;/Cite&gt;&lt;Cite&gt;&lt;Author&gt;da Costa&lt;/Author&gt;&lt;Year&gt;2012&lt;/Year&gt;&lt;RecNum&gt;3090&lt;/RecNum&gt;&lt;IDText&gt;Results of a randomized controlled trial to assess the effects of a mobile SMS-based intervention on treatment adherence in HIV/AIDS-infected Brazilian women and impressions and satisfaction with respect to incoming messages&lt;/IDText&gt;&lt;MDL Ref_Type="Journal"&gt;&lt;Ref_Type&gt;Journal&lt;/Ref_Type&gt;&lt;Ref_ID&gt;3090&lt;/Ref_ID&gt;&lt;Title_Primary&gt;Results of a randomized controlled trial to assess the effects of a mobile SMS-based intervention on treatment adherence in HIV/AIDS-infected Brazilian women and impressions and satisfaction with respect to incoming messages&lt;/Title_Primary&gt;&lt;Authors_Primary&gt;da Costa,T.M.&lt;/Authors_Primary&gt;&lt;Authors_Primary&gt;Barbosa,B.J.&lt;/Authors_Primary&gt;&lt;Authors_Primary&gt;Gomes e Costa DA&lt;/Authors_Primary&gt;&lt;Authors_Primary&gt;Sigulem,D.&lt;/Authors_Primary&gt;&lt;Authors_Primary&gt;de Fatima,Marin H.&lt;/Authors_Primary&gt;&lt;Authors_Primary&gt;Filho,A.C.&lt;/Authors_Primary&gt;&lt;Authors_Primary&gt;Pisa,I.T.&lt;/Authors_Primary&gt;&lt;Date_Primary&gt;2012/4&lt;/Date_Primary&gt;&lt;Keywords&gt;Acquired Immunodeficiency Syndrome&lt;/Keywords&gt;&lt;Keywords&gt;administration &amp;amp; dosage&lt;/Keywords&gt;&lt;Keywords&gt;Adult&lt;/Keywords&gt;&lt;Keywords&gt;Anti-HIV Agents&lt;/Keywords&gt;&lt;Keywords&gt;Brazil&lt;/Keywords&gt;&lt;Keywords&gt;Case-Control Studies&lt;/Keywords&gt;&lt;Keywords&gt;drug therapy&lt;/Keywords&gt;&lt;Keywords&gt;Female&lt;/Keywords&gt;&lt;Keywords&gt;Health&lt;/Keywords&gt;&lt;Keywords&gt;Health Behavior&lt;/Keywords&gt;&lt;Keywords&gt;Health Services Accessibility&lt;/Keywords&gt;&lt;Keywords&gt;HIV Infections&lt;/Keywords&gt;&lt;Keywords&gt;Hiv-1&lt;/Keywords&gt;&lt;Keywords&gt;Humans&lt;/Keywords&gt;&lt;Keywords&gt;Medication Adherence&lt;/Keywords&gt;&lt;Keywords&gt;pathogenicity&lt;/Keywords&gt;&lt;Keywords&gt;Patient Compliance&lt;/Keywords&gt;&lt;Keywords&gt;Persuasive Communication&lt;/Keywords&gt;&lt;Keywords&gt;Reminder Systems&lt;/Keywords&gt;&lt;Keywords&gt;Research&lt;/Keywords&gt;&lt;Keywords&gt;standards&lt;/Keywords&gt;&lt;Keywords&gt;Text Messaging&lt;/Keywords&gt;&lt;Keywords&gt;therapy&lt;/Keywords&gt;&lt;Keywords&gt;Treatment Outcome&lt;/Keywords&gt;&lt;Reprint&gt;Not in File&lt;/Reprint&gt;&lt;Start_Page&gt;257&lt;/Start_Page&gt;&lt;End_Page&gt;269&lt;/End_Page&gt;&lt;Periodical&gt;Int.J.Med.Inform.&lt;/Periodical&gt;&lt;Volume&gt;81&lt;/Volume&gt;&lt;Issue&gt;4&lt;/Issue&gt;&lt;Address&gt;Health Informatics Postgraduate Program, Universidade Federal de Sao Paulo (UNIFESP), Sao Paulo, SP, Brazil. tmartinicosta@gmail.com&lt;/Address&gt;&lt;Web_URL&gt;PM:22296762&lt;/Web_URL&gt;&lt;ZZ_JournalStdAbbrev&gt;&lt;f name="System"&gt;Int.J.Med.Inform.&lt;/f&gt;&lt;/ZZ_JournalStdAbbrev&gt;&lt;ZZ_WorkformID&gt;1&lt;/ZZ_WorkformID&gt;&lt;/MDL&gt;&lt;/Cite&gt;&lt;/Refman&gt;</w:instrText>
      </w:r>
      <w:r w:rsidR="009B5648">
        <w:fldChar w:fldCharType="separate"/>
      </w:r>
      <w:r>
        <w:t>[16,17,22]</w:t>
      </w:r>
      <w:r w:rsidR="009B5648">
        <w:fldChar w:fldCharType="end"/>
      </w:r>
      <w:r>
        <w:t>.</w:t>
      </w:r>
      <w:r w:rsidRPr="00DA4F2D">
        <w:t xml:space="preserve"> High rates of loss of mobile phones, or changes in phone number can impact on the effectiveness of SMS messaging to promote adherence or attendance for follow-up</w:t>
      </w:r>
      <w:r>
        <w:t xml:space="preserve"> </w:t>
      </w:r>
      <w:r w:rsidR="009B5648">
        <w:fldChar w:fldCharType="begin"/>
      </w:r>
      <w:r>
        <w:instrText xml:space="preserve"> ADDIN REFMGR.CITE &lt;Refman&gt;&lt;Cite&gt;&lt;Author&gt;Pop-Eleches&lt;/Author&gt;&lt;Year&gt;2011&lt;/Year&gt;&lt;RecNum&gt;2&lt;/RecNum&gt;&lt;IDText&gt;Mobile phone technologies improve adherence to antiretroviral treatment in a resource-limited setting: a randomized controlled trial of text message reminders&lt;/IDText&gt;&lt;MDL Ref_Type="Journal"&gt;&lt;Ref_Type&gt;Journal&lt;/Ref_Type&gt;&lt;Ref_ID&gt;2&lt;/Ref_ID&gt;&lt;Title_Primary&gt;Mobile phone technologies improve adherence to antiretroviral treatment in a resource-limited setting: a randomized controlled trial of text message reminders&lt;/Title_Primary&gt;&lt;Authors_Primary&gt;Pop-Eleches,C.&lt;/Authors_Primary&gt;&lt;Authors_Primary&gt;Thirumurthy,H.&lt;/Authors_Primary&gt;&lt;Authors_Primary&gt;Habyarimana,J.P.&lt;/Authors_Primary&gt;&lt;Authors_Primary&gt;Zivin,J.G.&lt;/Authors_Primary&gt;&lt;Authors_Primary&gt;Goldstein,M.P.&lt;/Authors_Primary&gt;&lt;Authors_Primary&gt;de,Walque D.&lt;/Authors_Primary&gt;&lt;Authors_Primary&gt;MacKeen,L.&lt;/Authors_Primary&gt;&lt;Authors_Primary&gt;Haberer,J.&lt;/Authors_Primary&gt;&lt;Authors_Primary&gt;Kimaiyo,S.&lt;/Authors_Primary&gt;&lt;Authors_Primary&gt;Sidle,J.&lt;/Authors_Primary&gt;&lt;Authors_Primary&gt;Ngare,D.&lt;/Authors_Primary&gt;&lt;Authors_Primary&gt;Bangsberg,D.R.&lt;/Authors_Primary&gt;&lt;Date_Primary&gt;2011/3/27&lt;/Date_Primary&gt;&lt;Keywords&gt;Adult&lt;/Keywords&gt;&lt;Keywords&gt;Anti-Retroviral Agents&lt;/Keywords&gt;&lt;Keywords&gt;Cellular Phone&lt;/Keywords&gt;&lt;Keywords&gt;drug therapy&lt;/Keywords&gt;&lt;Keywords&gt;Female&lt;/Keywords&gt;&lt;Keywords&gt;Health Services Accessibility&lt;/Keywords&gt;&lt;Keywords&gt;HIV Infections&lt;/Keywords&gt;&lt;Keywords&gt;Humans&lt;/Keywords&gt;&lt;Keywords&gt;instrumentation&lt;/Keywords&gt;&lt;Keywords&gt;Kenya&lt;/Keywords&gt;&lt;Keywords&gt;Male&lt;/Keywords&gt;&lt;Keywords&gt;Patient Compliance&lt;/Keywords&gt;&lt;Keywords&gt;Reminder Systems&lt;/Keywords&gt;&lt;Keywords&gt;Rural Health&lt;/Keywords&gt;&lt;Keywords&gt;standards&lt;/Keywords&gt;&lt;Keywords&gt;therapeutic use&lt;/Keywords&gt;&lt;Reprint&gt;Not in File&lt;/Reprint&gt;&lt;Start_Page&gt;825&lt;/Start_Page&gt;&lt;End_Page&gt;834&lt;/End_Page&gt;&lt;Periodical&gt;AIDS&lt;/Periodical&gt;&lt;Volume&gt;25&lt;/Volume&gt;&lt;Issue&gt;6&lt;/Issue&gt;&lt;Address&gt;School of International and Public Affairs, Columbia University, New York, New York, USA&lt;/Address&gt;&lt;Web_URL&gt;PM:21252632&lt;/Web_URL&gt;&lt;ZZ_JournalStdAbbrev&gt;&lt;f name="System"&gt;AIDS&lt;/f&gt;&lt;/ZZ_JournalStdAbbrev&gt;&lt;ZZ_WorkformID&gt;1&lt;/ZZ_WorkformID&gt;&lt;/MDL&gt;&lt;/Cite&gt;&lt;/Refman&gt;</w:instrText>
      </w:r>
      <w:r w:rsidR="009B5648">
        <w:fldChar w:fldCharType="separate"/>
      </w:r>
      <w:r>
        <w:t>[17]</w:t>
      </w:r>
      <w:r w:rsidR="009B5648">
        <w:fldChar w:fldCharType="end"/>
      </w:r>
      <w:r>
        <w:t>.</w:t>
      </w:r>
      <w:r w:rsidRPr="00DA4F2D">
        <w:t xml:space="preserve"> It is important, especially if persons come to rely on SMS messages, that programs have mechanisms to ensure that messages are sent and received by those for whom they are intended.</w:t>
      </w:r>
    </w:p>
    <w:p w:rsidR="00BA6265" w:rsidRPr="00DA4F2D" w:rsidRDefault="00BA6265" w:rsidP="00660039"/>
    <w:p w:rsidR="00BA6265" w:rsidRDefault="00BA6265" w:rsidP="00660039">
      <w:r w:rsidRPr="00DA4F2D">
        <w:t>In many of the studies</w:t>
      </w:r>
      <w:r>
        <w:t>,</w:t>
      </w:r>
      <w:r w:rsidRPr="00DA4F2D">
        <w:t xml:space="preserve"> the underlying theory supporting the use of SMS messages to promote the adherence to treatment regimens is not clear. Some studies provided rationales for the content, length or timing of messages but no theory of how messages are likely to influence behaviour</w:t>
      </w:r>
      <w:r>
        <w:t xml:space="preserve"> </w:t>
      </w:r>
      <w:r w:rsidR="009B5648">
        <w:fldChar w:fldCharType="begin"/>
      </w:r>
      <w:r>
        <w:instrText xml:space="preserve"> ADDIN REFMGR.CITE &lt;Refman&gt;&lt;Cite&gt;&lt;Author&gt;Heron&lt;/Author&gt;&lt;Year&gt;2010&lt;/Year&gt;&lt;RecNum&gt;3084&lt;/RecNum&gt;&lt;IDText&gt;Ecological momentary interventions: incorporating mobile technology into psychosocial and health behaviour treatments&lt;/IDText&gt;&lt;MDL Ref_Type="Journal"&gt;&lt;Ref_Type&gt;Journal&lt;/Ref_Type&gt;&lt;Ref_ID&gt;3084&lt;/Ref_ID&gt;&lt;Title_Primary&gt;Ecological momentary interventions: incorporating mobile technology into psychosocial and health behaviour treatments&lt;/Title_Primary&gt;&lt;Authors_Primary&gt;Heron,K.E.&lt;/Authors_Primary&gt;&lt;Authors_Primary&gt;Smyth,J.M.&lt;/Authors_Primary&gt;&lt;Date_Primary&gt;2010/2&lt;/Date_Primary&gt;&lt;Keywords&gt;Adolescent&lt;/Keywords&gt;&lt;Keywords&gt;Adult&lt;/Keywords&gt;&lt;Keywords&gt;Alcoholism&lt;/Keywords&gt;&lt;Keywords&gt;Anxiety Disorders&lt;/Keywords&gt;&lt;Keywords&gt;Cellular Phone&lt;/Keywords&gt;&lt;Keywords&gt;Child&lt;/Keywords&gt;&lt;Keywords&gt;Computers,Handheld&lt;/Keywords&gt;&lt;Keywords&gt;Diabetes Mellitus&lt;/Keywords&gt;&lt;Keywords&gt;Eating Disorders&lt;/Keywords&gt;&lt;Keywords&gt;Feeding Behavior&lt;/Keywords&gt;&lt;Keywords&gt;Female&lt;/Keywords&gt;&lt;Keywords&gt;Health&lt;/Keywords&gt;&lt;Keywords&gt;Health Behavior&lt;/Keywords&gt;&lt;Keywords&gt;Health Promotion&lt;/Keywords&gt;&lt;Keywords&gt;Humans&lt;/Keywords&gt;&lt;Keywords&gt;Male&lt;/Keywords&gt;&lt;Keywords&gt;Mental Disorders&lt;/Keywords&gt;&lt;Keywords&gt;methods&lt;/Keywords&gt;&lt;Keywords&gt;Middle Aged&lt;/Keywords&gt;&lt;Keywords&gt;Motor Activity&lt;/Keywords&gt;&lt;Keywords&gt;Obesity&lt;/Keywords&gt;&lt;Keywords&gt;Patient Satisfaction&lt;/Keywords&gt;&lt;Keywords&gt;Psychotherapy&lt;/Keywords&gt;&lt;Keywords&gt;Research&lt;/Keywords&gt;&lt;Keywords&gt;Self Care&lt;/Keywords&gt;&lt;Keywords&gt;Smoking&lt;/Keywords&gt;&lt;Keywords&gt;Smoking Cessation&lt;/Keywords&gt;&lt;Keywords&gt;therapy&lt;/Keywords&gt;&lt;Keywords&gt;Treatment Outcome&lt;/Keywords&gt;&lt;Keywords&gt;Weight Loss&lt;/Keywords&gt;&lt;Keywords&gt;Young Adult&lt;/Keywords&gt;&lt;Reprint&gt;Not in File&lt;/Reprint&gt;&lt;Start_Page&gt;1&lt;/Start_Page&gt;&lt;End_Page&gt;39&lt;/End_Page&gt;&lt;Periodical&gt;Br.J.Health Psychol.&lt;/Periodical&gt;&lt;Volume&gt;15&lt;/Volume&gt;&lt;Issue&gt;Pt 1&lt;/Issue&gt;&lt;Address&gt;Syracuse University, New York, USA&lt;/Address&gt;&lt;Web_URL&gt;PM:19646331&lt;/Web_URL&gt;&lt;ZZ_JournalStdAbbrev&gt;&lt;f name="System"&gt;Br.J.Health Psychol.&lt;/f&gt;&lt;/ZZ_JournalStdAbbrev&gt;&lt;ZZ_WorkformID&gt;1&lt;/ZZ_WorkformID&gt;&lt;/MDL&gt;&lt;/Cite&gt;&lt;/Refman&gt;</w:instrText>
      </w:r>
      <w:r w:rsidR="009B5648">
        <w:fldChar w:fldCharType="separate"/>
      </w:r>
      <w:r>
        <w:t>[26]</w:t>
      </w:r>
      <w:r w:rsidR="009B5648">
        <w:fldChar w:fldCharType="end"/>
      </w:r>
      <w:r>
        <w:t>.</w:t>
      </w:r>
      <w:r w:rsidRPr="00DA4F2D">
        <w:t xml:space="preserve"> Although not explicitly expressed, the use of SMS in many studies is primarily to counteract patient forgetfulness or provide “push” support</w:t>
      </w:r>
      <w:r>
        <w:t xml:space="preserve"> </w:t>
      </w:r>
      <w:r w:rsidR="009B5648">
        <w:fldChar w:fldCharType="begin"/>
      </w:r>
      <w:r>
        <w:instrText xml:space="preserve"> ADDIN REFMGR.CITE &lt;Refman&gt;&lt;Cite&gt;&lt;Author&gt;Franklin&lt;/Author&gt;&lt;Year&gt;2008&lt;/Year&gt;&lt;RecNum&gt;15&lt;/RecNum&gt;&lt;IDText&gt;Patients&amp;apos; engagement with &amp;quot;Sweet Talk&amp;quot; - a text messaging support system for young people with diabetes&lt;/IDText&gt;&lt;MDL Ref_Type="Journal"&gt;&lt;Ref_Type&gt;Journal&lt;/Ref_Type&gt;&lt;Ref_ID&gt;15&lt;/Ref_ID&gt;&lt;Title_Primary&gt;Patients&amp;apos; engagement with &amp;quot;Sweet Talk&amp;quot; - a text messaging support system for young people with diabetes&lt;/Title_Primary&gt;&lt;Authors_Primary&gt;Franklin,V.L.&lt;/Authors_Primary&gt;&lt;Authors_Primary&gt;Greene,A.&lt;/Authors_Primary&gt;&lt;Authors_Primary&gt;Waller,A.&lt;/Authors_Primary&gt;&lt;Authors_Primary&gt;Greene,S.A.&lt;/Authors_Primary&gt;&lt;Authors_Primary&gt;Pagliari,C.&lt;/Authors_Primary&gt;&lt;Date_Primary&gt;2008&lt;/Date_Primary&gt;&lt;Keywords&gt;Adolescent&lt;/Keywords&gt;&lt;Keywords&gt;blood&lt;/Keywords&gt;&lt;Keywords&gt;Blood Glucose&lt;/Keywords&gt;&lt;Keywords&gt;Blood Glucose Self-Monitoring&lt;/Keywords&gt;&lt;Keywords&gt;Cellular Phone&lt;/Keywords&gt;&lt;Keywords&gt;Child&lt;/Keywords&gt;&lt;Keywords&gt;Diabetes Mellitus,Type 1&lt;/Keywords&gt;&lt;Keywords&gt;drug therapy&lt;/Keywords&gt;&lt;Keywords&gt;Female&lt;/Keywords&gt;&lt;Keywords&gt;Humans&lt;/Keywords&gt;&lt;Keywords&gt;Male&lt;/Keywords&gt;&lt;Keywords&gt;methods&lt;/Keywords&gt;&lt;Keywords&gt;Patient Education as Topic&lt;/Keywords&gt;&lt;Keywords&gt;Scotland&lt;/Keywords&gt;&lt;Keywords&gt;Social Support&lt;/Keywords&gt;&lt;Keywords&gt;Text Messaging&lt;/Keywords&gt;&lt;Keywords&gt;therapy&lt;/Keywords&gt;&lt;Reprint&gt;Not in File&lt;/Reprint&gt;&lt;Start_Page&gt;e20&lt;/Start_Page&gt;&lt;Periodical&gt;J.Med.Internet.Res.&lt;/Periodical&gt;&lt;Volume&gt;10&lt;/Volume&gt;&lt;Issue&gt;2&lt;/Issue&gt;&lt;Address&gt;Maternal and Child Health Sciences, Ninewells Hospital and Medical School, Dundee, UK&lt;/Address&gt;&lt;Web_URL&gt;PM:18653444&lt;/Web_URL&gt;&lt;ZZ_JournalStdAbbrev&gt;&lt;f name="System"&gt;J.Med.Internet.Res.&lt;/f&gt;&lt;/ZZ_JournalStdAbbrev&gt;&lt;ZZ_WorkformID&gt;1&lt;/ZZ_WorkformID&gt;&lt;/MDL&gt;&lt;/Cite&gt;&lt;/Refman&gt;</w:instrText>
      </w:r>
      <w:r w:rsidR="009B5648">
        <w:fldChar w:fldCharType="separate"/>
      </w:r>
      <w:r>
        <w:t>[30]</w:t>
      </w:r>
      <w:r w:rsidR="009B5648">
        <w:fldChar w:fldCharType="end"/>
      </w:r>
      <w:r>
        <w:t>.</w:t>
      </w:r>
      <w:r w:rsidRPr="00DA4F2D">
        <w:t xml:space="preserve"> Theoretical explanations for how and why SMS is likely to be effective has been most developed for the conditions of diabetes and psychosocial and health behaviour treatments</w:t>
      </w:r>
      <w:r>
        <w:t xml:space="preserve"> </w:t>
      </w:r>
      <w:r w:rsidR="009B5648">
        <w:fldChar w:fldCharType="begin"/>
      </w:r>
      <w:r>
        <w:instrText xml:space="preserve"> ADDIN REFMGR.CITE &lt;Refman&gt;&lt;Cite&gt;&lt;Author&gt;Franklin&lt;/Author&gt;&lt;Year&gt;2008&lt;/Year&gt;&lt;RecNum&gt;15&lt;/RecNum&gt;&lt;IDText&gt;Patients&amp;apos; engagement with &amp;quot;Sweet Talk&amp;quot; - a text messaging support system for young people with diabetes&lt;/IDText&gt;&lt;MDL Ref_Type="Journal"&gt;&lt;Ref_Type&gt;Journal&lt;/Ref_Type&gt;&lt;Ref_ID&gt;15&lt;/Ref_ID&gt;&lt;Title_Primary&gt;Patients&amp;apos; engagement with &amp;quot;Sweet Talk&amp;quot; - a text messaging support system for young people with diabetes&lt;/Title_Primary&gt;&lt;Authors_Primary&gt;Franklin,V.L.&lt;/Authors_Primary&gt;&lt;Authors_Primary&gt;Greene,A.&lt;/Authors_Primary&gt;&lt;Authors_Primary&gt;Waller,A.&lt;/Authors_Primary&gt;&lt;Authors_Primary&gt;Greene,S.A.&lt;/Authors_Primary&gt;&lt;Authors_Primary&gt;Pagliari,C.&lt;/Authors_Primary&gt;&lt;Date_Primary&gt;2008&lt;/Date_Primary&gt;&lt;Keywords&gt;Adolescent&lt;/Keywords&gt;&lt;Keywords&gt;blood&lt;/Keywords&gt;&lt;Keywords&gt;Blood Glucose&lt;/Keywords&gt;&lt;Keywords&gt;Blood Glucose Self-Monitoring&lt;/Keywords&gt;&lt;Keywords&gt;Cellular Phone&lt;/Keywords&gt;&lt;Keywords&gt;Child&lt;/Keywords&gt;&lt;Keywords&gt;Diabetes Mellitus,Type 1&lt;/Keywords&gt;&lt;Keywords&gt;drug therapy&lt;/Keywords&gt;&lt;Keywords&gt;Female&lt;/Keywords&gt;&lt;Keywords&gt;Humans&lt;/Keywords&gt;&lt;Keywords&gt;Male&lt;/Keywords&gt;&lt;Keywords&gt;methods&lt;/Keywords&gt;&lt;Keywords&gt;Patient Education as Topic&lt;/Keywords&gt;&lt;Keywords&gt;Scotland&lt;/Keywords&gt;&lt;Keywords&gt;Social Support&lt;/Keywords&gt;&lt;Keywords&gt;Text Messaging&lt;/Keywords&gt;&lt;Keywords&gt;therapy&lt;/Keywords&gt;&lt;Reprint&gt;Not in File&lt;/Reprint&gt;&lt;Start_Page&gt;e20&lt;/Start_Page&gt;&lt;Periodical&gt;J.Med.Internet.Res.&lt;/Periodical&gt;&lt;Volume&gt;10&lt;/Volume&gt;&lt;Issue&gt;2&lt;/Issue&gt;&lt;Address&gt;Maternal and Child Health Sciences, Ninewells Hospital and Medical School, Dundee, UK&lt;/Address&gt;&lt;Web_URL&gt;PM:18653444&lt;/Web_URL&gt;&lt;ZZ_JournalStdAbbrev&gt;&lt;f name="System"&gt;J.Med.Internet.Res.&lt;/f&gt;&lt;/ZZ_JournalStdAbbrev&gt;&lt;ZZ_WorkformID&gt;1&lt;/ZZ_WorkformID&gt;&lt;/MDL&gt;&lt;/Cite&gt;&lt;Cite&gt;&lt;Author&gt;Miloh&lt;/Author&gt;&lt;Year&gt;2009&lt;/Year&gt;&lt;RecNum&gt;17&lt;/RecNum&gt;&lt;IDText&gt;Improved adherence and outcomes for pediatric liver transplant recipients by using text messaging&lt;/IDText&gt;&lt;MDL Ref_Type="Journal"&gt;&lt;Ref_Type&gt;Journal&lt;/Ref_Type&gt;&lt;Ref_ID&gt;17&lt;/Ref_ID&gt;&lt;Title_Primary&gt;Improved adherence and outcomes for pediatric liver transplant recipients by using text messaging&lt;/Title_Primary&gt;&lt;Authors_Primary&gt;Miloh,T.&lt;/Authors_Primary&gt;&lt;Authors_Primary&gt;Annunziato,R.&lt;/Authors_Primary&gt;&lt;Authors_Primary&gt;Arnon,R.&lt;/Authors_Primary&gt;&lt;Authors_Primary&gt;Warshaw,J.&lt;/Authors_Primary&gt;&lt;Authors_Primary&gt;Parkar,S.&lt;/Authors_Primary&gt;&lt;Authors_Primary&gt;Suchy,F.J.&lt;/Authors_Primary&gt;&lt;Authors_Primary&gt;Iyer,K.&lt;/Authors_Primary&gt;&lt;Authors_Primary&gt;Kerkar,N.&lt;/Authors_Primary&gt;&lt;Date_Primary&gt;2009/11&lt;/Date_Primary&gt;&lt;Keywords&gt;administration &amp;amp; dosage&lt;/Keywords&gt;&lt;Keywords&gt;Adolescent&lt;/Keywords&gt;&lt;Keywords&gt;Caregivers&lt;/Keywords&gt;&lt;Keywords&gt;Cellular Phone&lt;/Keywords&gt;&lt;Keywords&gt;Child&lt;/Keywords&gt;&lt;Keywords&gt;Child,Preschool&lt;/Keywords&gt;&lt;Keywords&gt;Female&lt;/Keywords&gt;&lt;Keywords&gt;Graft Rejection&lt;/Keywords&gt;&lt;Keywords&gt;Humans&lt;/Keywords&gt;&lt;Keywords&gt;Immunosuppressive Agents&lt;/Keywords&gt;&lt;Keywords&gt;Infant&lt;/Keywords&gt;&lt;Keywords&gt;Liver Transplantation&lt;/Keywords&gt;&lt;Keywords&gt;Male&lt;/Keywords&gt;&lt;Keywords&gt;Medication Adherence&lt;/Keywords&gt;&lt;Keywords&gt;methods&lt;/Keywords&gt;&lt;Keywords&gt;Patient Dropouts&lt;/Keywords&gt;&lt;Keywords&gt;pharmacokinetics&lt;/Keywords&gt;&lt;Keywords&gt;prevention &amp;amp; control&lt;/Keywords&gt;&lt;Keywords&gt;Prospective Studies&lt;/Keywords&gt;&lt;Keywords&gt;Tacrolimus&lt;/Keywords&gt;&lt;Keywords&gt;Text Messaging&lt;/Keywords&gt;&lt;Keywords&gt;Young Adult&lt;/Keywords&gt;&lt;Reprint&gt;Not in File&lt;/Reprint&gt;&lt;Start_Page&gt;e844&lt;/Start_Page&gt;&lt;End_Page&gt;e850&lt;/End_Page&gt;&lt;Periodical&gt;Pediatrics&lt;/Periodical&gt;&lt;Volume&gt;124&lt;/Volume&gt;&lt;Issue&gt;5&lt;/Issue&gt;&lt;Address&gt;Department of Pediatrics, Recanati Miller Transplant Institute, Mount Sinai Hospital, New York, New York 10029, USA. tamir.miloh@mountsinai.org&lt;/Address&gt;&lt;Web_URL&gt;PM:19822583&lt;/Web_URL&gt;&lt;ZZ_JournalStdAbbrev&gt;&lt;f name="System"&gt;Pediatrics&lt;/f&gt;&lt;/ZZ_JournalStdAbbrev&gt;&lt;ZZ_WorkformID&gt;1&lt;/ZZ_WorkformID&gt;&lt;/MDL&gt;&lt;/Cite&gt;&lt;/Refman&gt;</w:instrText>
      </w:r>
      <w:r w:rsidR="009B5648">
        <w:fldChar w:fldCharType="separate"/>
      </w:r>
      <w:r>
        <w:t>[22,30]</w:t>
      </w:r>
      <w:r w:rsidR="009B5648">
        <w:fldChar w:fldCharType="end"/>
      </w:r>
      <w:r>
        <w:t>.</w:t>
      </w:r>
    </w:p>
    <w:p w:rsidR="00BA6265" w:rsidRPr="00C470A4" w:rsidRDefault="00BA6265" w:rsidP="00C96163">
      <w:pPr>
        <w:pStyle w:val="Heading7"/>
      </w:pPr>
      <w:r w:rsidRPr="00C470A4">
        <w:t>Limitations</w:t>
      </w:r>
    </w:p>
    <w:p w:rsidR="00BA6265" w:rsidRPr="00DA4F2D" w:rsidRDefault="00BA6265" w:rsidP="00660039">
      <w:r w:rsidRPr="00DA4F2D">
        <w:t>The search strategy used to identify studies and reports potentially relevant for this review appears to have been successful. However, it is possible that some unpublished evaluations or reports on projects and programs were not identified, and therefore the potential for publication bias should be considered.</w:t>
      </w:r>
    </w:p>
    <w:p w:rsidR="00BA6265" w:rsidRPr="00DA4F2D" w:rsidRDefault="00BA6265" w:rsidP="00660039"/>
    <w:p w:rsidR="00BA6265" w:rsidRPr="00DA4F2D" w:rsidRDefault="00BA6265" w:rsidP="00660039">
      <w:r w:rsidRPr="00DA4F2D">
        <w:t xml:space="preserve">Some studies were reviewed </w:t>
      </w:r>
      <w:r>
        <w:t xml:space="preserve">that </w:t>
      </w:r>
      <w:r w:rsidRPr="00DA4F2D">
        <w:t xml:space="preserve">might otherwise </w:t>
      </w:r>
      <w:r>
        <w:t xml:space="preserve">have </w:t>
      </w:r>
      <w:r w:rsidRPr="00DA4F2D">
        <w:t xml:space="preserve">been excluded on the grounds of </w:t>
      </w:r>
      <w:r>
        <w:t>high risk of bias</w:t>
      </w:r>
      <w:r w:rsidRPr="00DA4F2D">
        <w:t xml:space="preserve">. These were assessed in an attempt to gain more information on intervention design and implementation issues that may be useful in considering options for future policy and program development. </w:t>
      </w:r>
    </w:p>
    <w:p w:rsidR="00BA6265" w:rsidRDefault="00BA6265" w:rsidP="00C96163">
      <w:pPr>
        <w:pStyle w:val="Heading7"/>
      </w:pPr>
      <w:r w:rsidRPr="00C470A4">
        <w:t>Implications for policy and practice</w:t>
      </w:r>
    </w:p>
    <w:p w:rsidR="00BA6265" w:rsidRPr="00DA4F2D" w:rsidRDefault="00BA6265" w:rsidP="00660039">
      <w:r w:rsidRPr="00DA4F2D">
        <w:t xml:space="preserve">No studies were identified that included the use of SMS messaging interventions and </w:t>
      </w:r>
      <w:r>
        <w:t>I</w:t>
      </w:r>
      <w:r w:rsidRPr="00DA4F2D">
        <w:t xml:space="preserve">ndigenous populations. None were identified that involved using SMS messages targeting carers of infants </w:t>
      </w:r>
      <w:r>
        <w:t xml:space="preserve">or </w:t>
      </w:r>
      <w:r w:rsidRPr="00DA4F2D">
        <w:t xml:space="preserve">young children with chronic </w:t>
      </w:r>
      <w:r>
        <w:t xml:space="preserve">medical </w:t>
      </w:r>
      <w:r w:rsidRPr="00DA4F2D">
        <w:t>conditions to promote adherence to treatment regimens and improve follow-up. Hence, recommendations for policy development, improved practice and potential inclusion of SMS interventions as discussed here are drawn from the experiences of population groups and contexts other tha</w:t>
      </w:r>
      <w:r>
        <w:t>n</w:t>
      </w:r>
      <w:r w:rsidRPr="00DA4F2D">
        <w:t xml:space="preserve"> that of the Australian Indigenous peoples. </w:t>
      </w:r>
    </w:p>
    <w:p w:rsidR="00BA6265" w:rsidRPr="00DA4F2D" w:rsidRDefault="00BA6265" w:rsidP="00660039">
      <w:r w:rsidRPr="00DA4F2D">
        <w:t>Important implications for policy and practice taken from the general literature include:</w:t>
      </w:r>
    </w:p>
    <w:p w:rsidR="00BA6265" w:rsidRPr="00DA4F2D" w:rsidRDefault="00BA6265" w:rsidP="00B810C5">
      <w:pPr>
        <w:numPr>
          <w:ilvl w:val="0"/>
          <w:numId w:val="10"/>
        </w:numPr>
        <w:tabs>
          <w:tab w:val="clear" w:pos="720"/>
          <w:tab w:val="num" w:pos="1418"/>
        </w:tabs>
        <w:spacing w:before="120"/>
        <w:ind w:left="1417" w:hanging="697"/>
      </w:pPr>
      <w:r w:rsidRPr="00DA4F2D">
        <w:lastRenderedPageBreak/>
        <w:t>There is a need to understand the multi-factorial nature of non-adherence to treatment regimens for chronic illness in Indigenous children living in remote communities.</w:t>
      </w:r>
    </w:p>
    <w:p w:rsidR="00BA6265" w:rsidRPr="00DA4F2D" w:rsidRDefault="00BA6265" w:rsidP="00B810C5">
      <w:pPr>
        <w:numPr>
          <w:ilvl w:val="0"/>
          <w:numId w:val="10"/>
        </w:numPr>
        <w:tabs>
          <w:tab w:val="clear" w:pos="720"/>
          <w:tab w:val="num" w:pos="1418"/>
        </w:tabs>
        <w:spacing w:before="120"/>
        <w:ind w:left="1417" w:hanging="697"/>
      </w:pPr>
      <w:r w:rsidRPr="00DA4F2D">
        <w:t>Interventions to promote better adherence, or other health behaviour change, need to be identified and developed in parallel with more supportive and responsive health service delivery system development.</w:t>
      </w:r>
    </w:p>
    <w:p w:rsidR="00BA6265" w:rsidRPr="00DA4F2D" w:rsidRDefault="00BA6265" w:rsidP="00B810C5">
      <w:pPr>
        <w:numPr>
          <w:ilvl w:val="0"/>
          <w:numId w:val="10"/>
        </w:numPr>
        <w:tabs>
          <w:tab w:val="clear" w:pos="720"/>
          <w:tab w:val="num" w:pos="1418"/>
        </w:tabs>
        <w:spacing w:before="120"/>
        <w:ind w:left="1417" w:hanging="697"/>
      </w:pPr>
      <w:r w:rsidRPr="00DA4F2D">
        <w:t>Interventions to promote better adherence to treatment regimens for chronic illness in children need to take account and promote improving the quality of family life and strengthening mother (carer) and child relationships.</w:t>
      </w:r>
    </w:p>
    <w:p w:rsidR="00BA6265" w:rsidRPr="00DA4F2D" w:rsidRDefault="00BA6265" w:rsidP="00B810C5">
      <w:pPr>
        <w:numPr>
          <w:ilvl w:val="0"/>
          <w:numId w:val="10"/>
        </w:numPr>
        <w:tabs>
          <w:tab w:val="clear" w:pos="720"/>
          <w:tab w:val="num" w:pos="1418"/>
        </w:tabs>
        <w:spacing w:before="120"/>
        <w:ind w:left="1417" w:hanging="697"/>
      </w:pPr>
      <w:r w:rsidRPr="00DA4F2D">
        <w:t>Good communication is needed to ensure there is alignment, common understanding of the goals for children’s health aspired to by clinicians and those aspired to by carers.</w:t>
      </w:r>
    </w:p>
    <w:p w:rsidR="00BA6265" w:rsidRPr="00DA4F2D" w:rsidRDefault="00BA6265" w:rsidP="00B810C5">
      <w:pPr>
        <w:numPr>
          <w:ilvl w:val="0"/>
          <w:numId w:val="10"/>
        </w:numPr>
        <w:tabs>
          <w:tab w:val="clear" w:pos="720"/>
          <w:tab w:val="num" w:pos="1418"/>
        </w:tabs>
        <w:spacing w:before="120"/>
        <w:ind w:left="1417" w:hanging="697"/>
      </w:pPr>
      <w:r w:rsidRPr="00DA4F2D">
        <w:t>Interventions to promote adherence should aim to support carers of children with chronic illness and not cause them additional stress.</w:t>
      </w:r>
    </w:p>
    <w:p w:rsidR="00BA6265" w:rsidRPr="00DA4F2D" w:rsidRDefault="00BA6265" w:rsidP="00660039"/>
    <w:p w:rsidR="00BA6265" w:rsidRDefault="00BA6265" w:rsidP="00660039">
      <w:r w:rsidRPr="00DA4F2D">
        <w:t>The implications for policy and practice from the research evidence</w:t>
      </w:r>
      <w:r>
        <w:t xml:space="preserve">  </w:t>
      </w:r>
      <w:r w:rsidRPr="00DA4F2D">
        <w:t xml:space="preserve">included in this review </w:t>
      </w:r>
      <w:r>
        <w:t>(especially as this applies to young children with chronic conditions living in remote Northern Territory communities) a</w:t>
      </w:r>
      <w:r w:rsidRPr="00DA4F2D">
        <w:t>re:</w:t>
      </w:r>
    </w:p>
    <w:p w:rsidR="00BA6265" w:rsidRPr="00DA4F2D" w:rsidRDefault="00BA6265" w:rsidP="00660039"/>
    <w:p w:rsidR="00BA6265" w:rsidRPr="00DA4F2D" w:rsidRDefault="00BA6265" w:rsidP="00B810C5">
      <w:pPr>
        <w:numPr>
          <w:ilvl w:val="0"/>
          <w:numId w:val="11"/>
        </w:numPr>
        <w:tabs>
          <w:tab w:val="clear" w:pos="720"/>
          <w:tab w:val="num" w:pos="1418"/>
        </w:tabs>
        <w:spacing w:before="120"/>
        <w:ind w:left="1417" w:hanging="697"/>
      </w:pPr>
      <w:r w:rsidRPr="00DA4F2D">
        <w:t>SMS messaging sent via mobile phone to persons who have conditions that require daily therapy needs and ongoing medical follow-up should be seen as only one component of a multi-factorial intervention to promote adherence to treatment regimens and improved follow-up.</w:t>
      </w:r>
    </w:p>
    <w:p w:rsidR="00BA6265" w:rsidRPr="00DA4F2D" w:rsidRDefault="00BA6265" w:rsidP="00B810C5">
      <w:pPr>
        <w:numPr>
          <w:ilvl w:val="0"/>
          <w:numId w:val="11"/>
        </w:numPr>
        <w:tabs>
          <w:tab w:val="clear" w:pos="720"/>
          <w:tab w:val="num" w:pos="1418"/>
        </w:tabs>
        <w:spacing w:before="120"/>
        <w:ind w:left="1417" w:hanging="697"/>
      </w:pPr>
      <w:r w:rsidRPr="00DA4F2D">
        <w:t>To promote acceptability and effectiveness all elements of SMS message interventions should be developed in partnership with community members.</w:t>
      </w:r>
    </w:p>
    <w:p w:rsidR="00BA6265" w:rsidRPr="00DA4F2D" w:rsidRDefault="00BA6265" w:rsidP="00B810C5">
      <w:pPr>
        <w:numPr>
          <w:ilvl w:val="0"/>
          <w:numId w:val="11"/>
        </w:numPr>
        <w:tabs>
          <w:tab w:val="clear" w:pos="720"/>
          <w:tab w:val="num" w:pos="1418"/>
        </w:tabs>
        <w:spacing w:before="120"/>
        <w:ind w:left="1417" w:hanging="697"/>
      </w:pPr>
      <w:r w:rsidRPr="00DA4F2D">
        <w:t xml:space="preserve">The use of SMS messaging over extended times has the potential to lead to tolerance and messages being ignored, feelings of intrusiveness, or dependence. </w:t>
      </w:r>
    </w:p>
    <w:p w:rsidR="00BA6265" w:rsidRPr="00DA4F2D" w:rsidRDefault="00BA6265" w:rsidP="00B810C5">
      <w:pPr>
        <w:numPr>
          <w:ilvl w:val="0"/>
          <w:numId w:val="11"/>
        </w:numPr>
        <w:tabs>
          <w:tab w:val="clear" w:pos="720"/>
          <w:tab w:val="num" w:pos="1418"/>
        </w:tabs>
        <w:spacing w:before="120"/>
        <w:ind w:left="1417" w:hanging="697"/>
      </w:pPr>
      <w:r w:rsidRPr="00DA4F2D">
        <w:t>Interactive SMS messaging communication interventions have the potential to offer social support and promote self-efficacy.</w:t>
      </w:r>
    </w:p>
    <w:p w:rsidR="00BA6265" w:rsidRPr="00EE6287" w:rsidRDefault="00BA6265" w:rsidP="00C96163">
      <w:pPr>
        <w:pStyle w:val="Heading7"/>
      </w:pPr>
      <w:r w:rsidRPr="00EE6287">
        <w:t>Conclusion</w:t>
      </w:r>
    </w:p>
    <w:p w:rsidR="00BA6265" w:rsidRDefault="00BA6265" w:rsidP="00660039">
      <w:r w:rsidRPr="00DA4F2D">
        <w:t xml:space="preserve">There is an urgent need to identify strategies to improve treatment and follow-up review adherence rates for </w:t>
      </w:r>
      <w:r>
        <w:t xml:space="preserve">Aboriginal </w:t>
      </w:r>
      <w:r w:rsidRPr="00DA4F2D">
        <w:t xml:space="preserve">children </w:t>
      </w:r>
      <w:r>
        <w:t xml:space="preserve">living in remote communities </w:t>
      </w:r>
      <w:r w:rsidRPr="00DA4F2D">
        <w:t>with chronic</w:t>
      </w:r>
      <w:r>
        <w:t xml:space="preserve"> conditions</w:t>
      </w:r>
      <w:r w:rsidRPr="00DA4F2D">
        <w:t xml:space="preserve">. There is some evidence to support that SMS sent by mobile telephone can play a supporting role in achieving improved adherence. </w:t>
      </w:r>
      <w:r>
        <w:t>I</w:t>
      </w:r>
      <w:r w:rsidRPr="00DA4F2D">
        <w:t xml:space="preserve">mportant individual, family, treatment and health service characteristics </w:t>
      </w:r>
      <w:r>
        <w:t>can affect t</w:t>
      </w:r>
      <w:r w:rsidRPr="00DA4F2D">
        <w:t>he effectiveness of SMS leading to improved adherence</w:t>
      </w:r>
      <w:r>
        <w:t xml:space="preserve">.  These factors represent </w:t>
      </w:r>
      <w:r w:rsidRPr="00DA4F2D">
        <w:t>real or perceived barriers to adherence.</w:t>
      </w:r>
    </w:p>
    <w:p w:rsidR="00BA6265" w:rsidRPr="002521E1" w:rsidRDefault="00BA6265" w:rsidP="00C96163">
      <w:pPr>
        <w:pStyle w:val="Heading7"/>
      </w:pPr>
      <w:r w:rsidRPr="002521E1">
        <w:t>Attachments</w:t>
      </w:r>
    </w:p>
    <w:p w:rsidR="00BA6265" w:rsidRPr="002521E1" w:rsidRDefault="00BA6265" w:rsidP="00660039">
      <w:bookmarkStart w:id="4" w:name="_Ref326491614"/>
      <w:r w:rsidRPr="002521E1">
        <w:t>A</w:t>
      </w:r>
      <w:r>
        <w:t xml:space="preserve">ppendix </w:t>
      </w:r>
      <w:r w:rsidRPr="002521E1">
        <w:t xml:space="preserve">1 </w:t>
      </w:r>
      <w:r>
        <w:t xml:space="preserve">- </w:t>
      </w:r>
      <w:r w:rsidRPr="002521E1">
        <w:t xml:space="preserve">Table </w:t>
      </w:r>
      <w:bookmarkEnd w:id="4"/>
      <w:r>
        <w:t>1</w:t>
      </w:r>
      <w:r w:rsidRPr="002521E1">
        <w:t xml:space="preserve">. </w:t>
      </w:r>
      <w:r>
        <w:t>A l</w:t>
      </w:r>
      <w:r w:rsidRPr="00122C68">
        <w:t>ist of excluded studies and reason for exclusion</w:t>
      </w:r>
      <w:r w:rsidRPr="002521E1">
        <w:t xml:space="preserve"> </w:t>
      </w:r>
    </w:p>
    <w:p w:rsidR="00BA6265" w:rsidRPr="002521E1" w:rsidRDefault="00BA6265" w:rsidP="0033527A">
      <w:r>
        <w:t>Appendix</w:t>
      </w:r>
      <w:r w:rsidRPr="00122C68">
        <w:t xml:space="preserve"> </w:t>
      </w:r>
      <w:r>
        <w:t>1</w:t>
      </w:r>
      <w:r w:rsidRPr="00122C68">
        <w:t xml:space="preserve"> - </w:t>
      </w:r>
      <w:bookmarkStart w:id="5" w:name="_Ref329010413"/>
      <w:bookmarkStart w:id="6" w:name="_Ref329010352"/>
      <w:r w:rsidRPr="00122C68">
        <w:t xml:space="preserve">Table </w:t>
      </w:r>
      <w:bookmarkEnd w:id="5"/>
      <w:bookmarkEnd w:id="6"/>
      <w:r>
        <w:t xml:space="preserve">2. </w:t>
      </w:r>
      <w:r w:rsidRPr="002521E1">
        <w:t xml:space="preserve">A list of the six studies eligible for inclusion </w:t>
      </w:r>
    </w:p>
    <w:p w:rsidR="00BA6265" w:rsidRDefault="00BA6265" w:rsidP="00C96163">
      <w:pPr>
        <w:pStyle w:val="Heading7"/>
      </w:pPr>
      <w:r>
        <w:t>List of abbreviations</w:t>
      </w:r>
    </w:p>
    <w:p w:rsidR="00BA6265" w:rsidRPr="00F46BDF" w:rsidRDefault="00BA6265" w:rsidP="005F703E">
      <w:pPr>
        <w:rPr>
          <w:sz w:val="18"/>
        </w:rPr>
      </w:pPr>
      <w:r w:rsidRPr="00F46BDF">
        <w:rPr>
          <w:sz w:val="18"/>
        </w:rPr>
        <w:t>GPP – good practice point</w:t>
      </w:r>
    </w:p>
    <w:p w:rsidR="00BA6265" w:rsidRPr="00F46BDF" w:rsidRDefault="00BA6265" w:rsidP="005F703E">
      <w:pPr>
        <w:rPr>
          <w:sz w:val="18"/>
        </w:rPr>
      </w:pPr>
      <w:r w:rsidRPr="00F46BDF">
        <w:rPr>
          <w:sz w:val="18"/>
        </w:rPr>
        <w:t>HIV - human immunodeficiency virus</w:t>
      </w:r>
    </w:p>
    <w:p w:rsidR="00BA6265" w:rsidRPr="00F46BDF" w:rsidRDefault="00BA6265" w:rsidP="005F703E">
      <w:pPr>
        <w:rPr>
          <w:sz w:val="18"/>
        </w:rPr>
      </w:pPr>
      <w:r w:rsidRPr="00F46BDF">
        <w:rPr>
          <w:sz w:val="18"/>
        </w:rPr>
        <w:t>MMS - multi-media messaging service</w:t>
      </w:r>
    </w:p>
    <w:p w:rsidR="00BA6265" w:rsidRPr="00F46BDF" w:rsidRDefault="00BA6265" w:rsidP="005F703E">
      <w:pPr>
        <w:rPr>
          <w:sz w:val="18"/>
        </w:rPr>
      </w:pPr>
      <w:r w:rsidRPr="00F46BDF">
        <w:rPr>
          <w:sz w:val="18"/>
        </w:rPr>
        <w:t xml:space="preserve">NT - Northern Territory </w:t>
      </w:r>
    </w:p>
    <w:p w:rsidR="00BA6265" w:rsidRPr="00F46BDF" w:rsidRDefault="00BA6265" w:rsidP="005F703E">
      <w:pPr>
        <w:rPr>
          <w:sz w:val="18"/>
        </w:rPr>
      </w:pPr>
      <w:r w:rsidRPr="00F46BDF">
        <w:rPr>
          <w:sz w:val="18"/>
        </w:rPr>
        <w:t xml:space="preserve">SLE - systemic lupus </w:t>
      </w:r>
      <w:proofErr w:type="spellStart"/>
      <w:r w:rsidRPr="00F46BDF">
        <w:rPr>
          <w:sz w:val="18"/>
        </w:rPr>
        <w:t>erythematosus</w:t>
      </w:r>
      <w:proofErr w:type="spellEnd"/>
    </w:p>
    <w:p w:rsidR="00BA6265" w:rsidRPr="00F46BDF" w:rsidRDefault="00BA6265" w:rsidP="005F703E">
      <w:pPr>
        <w:rPr>
          <w:sz w:val="18"/>
        </w:rPr>
      </w:pPr>
      <w:r w:rsidRPr="00F46BDF">
        <w:rPr>
          <w:sz w:val="18"/>
        </w:rPr>
        <w:t xml:space="preserve">SMS - short message service </w:t>
      </w:r>
    </w:p>
    <w:p w:rsidR="00BA6265" w:rsidRPr="00F46BDF" w:rsidRDefault="00BA6265" w:rsidP="005F703E">
      <w:pPr>
        <w:rPr>
          <w:sz w:val="18"/>
        </w:rPr>
      </w:pPr>
      <w:r w:rsidRPr="00F46BDF">
        <w:rPr>
          <w:sz w:val="18"/>
        </w:rPr>
        <w:t xml:space="preserve">RCT - randomised controlled trial </w:t>
      </w:r>
    </w:p>
    <w:p w:rsidR="00BA6265" w:rsidRDefault="00BA6265" w:rsidP="00094853">
      <w:pPr>
        <w:rPr>
          <w:sz w:val="18"/>
        </w:rPr>
      </w:pPr>
      <w:r w:rsidRPr="00F46BDF">
        <w:rPr>
          <w:sz w:val="18"/>
        </w:rPr>
        <w:t>ROB – risk of bias</w:t>
      </w:r>
    </w:p>
    <w:p w:rsidR="00BA6265" w:rsidRDefault="00BA6265" w:rsidP="00C96163">
      <w:pPr>
        <w:pStyle w:val="Heading5"/>
        <w:ind w:left="1418" w:hanging="1418"/>
      </w:pPr>
      <w:r>
        <w:br w:type="page"/>
      </w:r>
      <w:r w:rsidRPr="00712BED">
        <w:lastRenderedPageBreak/>
        <w:t>Project 3</w:t>
      </w:r>
      <w:r>
        <w:t xml:space="preserve"> </w:t>
      </w:r>
      <w:r>
        <w:tab/>
        <w:t>Can mobile phone MMS and text messages improve clinic attendance for Aboriginal children with chronic otitis media</w:t>
      </w:r>
      <w:proofErr w:type="gramStart"/>
      <w:r>
        <w:t>?:</w:t>
      </w:r>
      <w:proofErr w:type="gramEnd"/>
      <w:r>
        <w:t xml:space="preserve"> a randomised controlled trial (paper for publication).</w:t>
      </w:r>
    </w:p>
    <w:p w:rsidR="00BA6265" w:rsidRPr="00C96163" w:rsidRDefault="00BA6265" w:rsidP="00C96163">
      <w:pPr>
        <w:pStyle w:val="Heading6"/>
        <w:rPr>
          <w:sz w:val="28"/>
          <w:u w:val="single"/>
        </w:rPr>
      </w:pPr>
      <w:r w:rsidRPr="00C96163">
        <w:rPr>
          <w:sz w:val="28"/>
          <w:u w:val="single"/>
        </w:rPr>
        <w:t xml:space="preserve">Summary </w:t>
      </w:r>
    </w:p>
    <w:p w:rsidR="00C96163" w:rsidRPr="00C96163" w:rsidRDefault="00BA6265" w:rsidP="00C96163">
      <w:pPr>
        <w:pStyle w:val="Heading7"/>
        <w:rPr>
          <w:rStyle w:val="Heading7Char"/>
          <w:b/>
        </w:rPr>
      </w:pPr>
      <w:r w:rsidRPr="00C96163">
        <w:rPr>
          <w:rStyle w:val="Heading7Char"/>
          <w:b/>
        </w:rPr>
        <w:t xml:space="preserve">Background: </w:t>
      </w:r>
    </w:p>
    <w:p w:rsidR="00B25816" w:rsidRDefault="00BA6265" w:rsidP="00B25816">
      <w:pPr>
        <w:spacing w:after="120"/>
      </w:pPr>
      <w:r>
        <w:t>Otitis media is a chronic condition largely affecting children. Poor adherence to treatment often results in associated hearing loss, which has a significant effect on a child’s language, education and social outcomes.</w:t>
      </w:r>
    </w:p>
    <w:p w:rsidR="00C96163" w:rsidRPr="00C96163" w:rsidRDefault="00BA6265" w:rsidP="00C96163">
      <w:pPr>
        <w:pStyle w:val="Heading7"/>
        <w:rPr>
          <w:rStyle w:val="Heading7Char"/>
          <w:b/>
        </w:rPr>
      </w:pPr>
      <w:r w:rsidRPr="00C96163">
        <w:rPr>
          <w:rStyle w:val="Heading7Char"/>
          <w:b/>
        </w:rPr>
        <w:t xml:space="preserve">Aim: </w:t>
      </w:r>
    </w:p>
    <w:p w:rsidR="00B25816" w:rsidRDefault="00BA6265" w:rsidP="00B25816">
      <w:pPr>
        <w:spacing w:after="240"/>
      </w:pPr>
      <w:r>
        <w:t>This study is the first randomised trial in remote Australian Indigenous settings to evaluate the use of mobile phone multimedia and text messaging intervention for carers of children with otitis media in order to promote ear health through increased clinic attendance and adherence to treatment.</w:t>
      </w:r>
    </w:p>
    <w:p w:rsidR="00C96163" w:rsidRPr="00C96163" w:rsidRDefault="00BA6265" w:rsidP="00C96163">
      <w:pPr>
        <w:pStyle w:val="Heading7"/>
        <w:rPr>
          <w:rStyle w:val="Heading7Char"/>
          <w:b/>
        </w:rPr>
      </w:pPr>
      <w:r w:rsidRPr="00C96163">
        <w:rPr>
          <w:rStyle w:val="Heading7Char"/>
          <w:b/>
        </w:rPr>
        <w:t xml:space="preserve">Method: </w:t>
      </w:r>
    </w:p>
    <w:p w:rsidR="00BA6265" w:rsidRDefault="00BA6265" w:rsidP="00660039">
      <w:r>
        <w:t>The study took place over a 6 week period in two remote Indigenous communities in the Northern Territory. Both communities have a medical clinic with a full time doctor as well as nurse and/or Aboriginal health worker. After randomisation, the intervention group received multimedia messages in two Indigenous languages,</w:t>
      </w:r>
      <w:r w:rsidRPr="00A0504F">
        <w:t xml:space="preserve"> </w:t>
      </w:r>
      <w:r>
        <w:t>reminding the carers about the importance of ear health. They also received short text messages, in English, recommending weekly clinic visits for ear check-ups and treatment reviews.</w:t>
      </w:r>
    </w:p>
    <w:p w:rsidR="00BA6265" w:rsidRDefault="00BA6265" w:rsidP="00660039"/>
    <w:p w:rsidR="00C96163" w:rsidRDefault="00BA6265" w:rsidP="00660039">
      <w:r w:rsidRPr="00C96163">
        <w:rPr>
          <w:rStyle w:val="Heading7Char"/>
        </w:rPr>
        <w:t>Conclusion:</w:t>
      </w:r>
      <w:r>
        <w:t xml:space="preserve"> </w:t>
      </w:r>
    </w:p>
    <w:p w:rsidR="00BA6265" w:rsidRDefault="00BA6265" w:rsidP="00660039">
      <w:pPr>
        <w:rPr>
          <w:b/>
        </w:rPr>
      </w:pPr>
      <w:r>
        <w:t>There was no significant improvement in clinic attendance or ear health outcomes between those receiving messages and those not receiving messages.  The media and text messaging were accepted by Health Workers and carers as a mode of communication.  This study has demonstrated the potential of this medium as a tool in the management of chronic disease in remote and disadvantaged populations.</w:t>
      </w:r>
      <w:r w:rsidR="00B25816">
        <w:rPr>
          <w:b/>
        </w:rPr>
        <w:t xml:space="preserve"> </w:t>
      </w:r>
    </w:p>
    <w:p w:rsidR="00BA6265" w:rsidRDefault="00BA6265" w:rsidP="00660039">
      <w:pPr>
        <w:rPr>
          <w:b/>
        </w:rPr>
      </w:pPr>
      <w:r>
        <w:rPr>
          <w:b/>
        </w:rPr>
        <w:br w:type="page"/>
      </w:r>
    </w:p>
    <w:p w:rsidR="00BA6265" w:rsidRDefault="00BA6265" w:rsidP="00C96163">
      <w:pPr>
        <w:pStyle w:val="Heading5"/>
        <w:pBdr>
          <w:top w:val="none" w:sz="0" w:space="0" w:color="auto"/>
          <w:left w:val="none" w:sz="0" w:space="0" w:color="auto"/>
          <w:bottom w:val="none" w:sz="0" w:space="0" w:color="auto"/>
          <w:right w:val="none" w:sz="0" w:space="0" w:color="auto"/>
        </w:pBdr>
      </w:pPr>
      <w:r>
        <w:lastRenderedPageBreak/>
        <w:t>INTRODUCTION</w:t>
      </w:r>
    </w:p>
    <w:p w:rsidR="00BA6265" w:rsidRDefault="00BA6265" w:rsidP="006C0B32">
      <w:r w:rsidRPr="002055BD">
        <w:t>Aboriginal children living in remote areas of the Northern Territory</w:t>
      </w:r>
      <w:r>
        <w:t xml:space="preserve"> (NT)</w:t>
      </w:r>
      <w:r w:rsidRPr="002055BD">
        <w:t xml:space="preserve">, Australia have the </w:t>
      </w:r>
      <w:r>
        <w:t xml:space="preserve">world’s </w:t>
      </w:r>
      <w:r w:rsidRPr="002055BD">
        <w:t xml:space="preserve">highest </w:t>
      </w:r>
      <w:r>
        <w:t xml:space="preserve">reported </w:t>
      </w:r>
      <w:r w:rsidRPr="002055BD">
        <w:t>rates of eardrum perforation</w:t>
      </w:r>
      <w:r>
        <w:t>, with the problem continuing into adulthood.</w:t>
      </w:r>
      <w:r w:rsidRPr="00AD1565">
        <w:rPr>
          <w:vertAlign w:val="superscript"/>
        </w:rPr>
        <w:t>1–3</w:t>
      </w:r>
      <w:r w:rsidRPr="002055BD">
        <w:t xml:space="preserve"> The associated hearing loss may have significant effects on language, education and social outcomes</w:t>
      </w:r>
      <w:r>
        <w:t>.</w:t>
      </w:r>
      <w:r w:rsidRPr="00AD1565">
        <w:rPr>
          <w:vertAlign w:val="superscript"/>
        </w:rPr>
        <w:t>1</w:t>
      </w:r>
      <w:proofErr w:type="gramStart"/>
      <w:r w:rsidRPr="00AD1565">
        <w:rPr>
          <w:vertAlign w:val="superscript"/>
        </w:rPr>
        <w:t>,</w:t>
      </w:r>
      <w:r>
        <w:rPr>
          <w:vertAlign w:val="superscript"/>
        </w:rPr>
        <w:t>4</w:t>
      </w:r>
      <w:proofErr w:type="gramEnd"/>
      <w:r>
        <w:rPr>
          <w:vertAlign w:val="superscript"/>
        </w:rPr>
        <w:t>–7</w:t>
      </w:r>
      <w:r w:rsidRPr="002055BD">
        <w:t xml:space="preserve"> </w:t>
      </w:r>
      <w:r>
        <w:t>A</w:t>
      </w:r>
      <w:r w:rsidRPr="002055BD">
        <w:t xml:space="preserve">cute </w:t>
      </w:r>
      <w:r>
        <w:t>o</w:t>
      </w:r>
      <w:r w:rsidRPr="002055BD">
        <w:t xml:space="preserve">titis </w:t>
      </w:r>
      <w:r>
        <w:t>m</w:t>
      </w:r>
      <w:r w:rsidRPr="002055BD">
        <w:t xml:space="preserve">edia with </w:t>
      </w:r>
      <w:r>
        <w:t>p</w:t>
      </w:r>
      <w:r w:rsidRPr="002055BD">
        <w:t>erforation</w:t>
      </w:r>
      <w:r>
        <w:t xml:space="preserve"> (</w:t>
      </w:r>
      <w:proofErr w:type="spellStart"/>
      <w:r>
        <w:t>AOMwiP</w:t>
      </w:r>
      <w:proofErr w:type="spellEnd"/>
      <w:r>
        <w:t>)</w:t>
      </w:r>
      <w:r w:rsidRPr="002055BD">
        <w:t xml:space="preserve"> frequently progresses to </w:t>
      </w:r>
      <w:r>
        <w:t>c</w:t>
      </w:r>
      <w:r w:rsidRPr="002055BD">
        <w:t xml:space="preserve">hronic </w:t>
      </w:r>
      <w:proofErr w:type="spellStart"/>
      <w:r>
        <w:t>s</w:t>
      </w:r>
      <w:r w:rsidRPr="002055BD">
        <w:t>uppurative</w:t>
      </w:r>
      <w:proofErr w:type="spellEnd"/>
      <w:r w:rsidRPr="002055BD">
        <w:t xml:space="preserve"> </w:t>
      </w:r>
      <w:r>
        <w:t>o</w:t>
      </w:r>
      <w:r w:rsidRPr="002055BD">
        <w:t xml:space="preserve">titis </w:t>
      </w:r>
      <w:r>
        <w:t>m</w:t>
      </w:r>
      <w:r w:rsidRPr="002055BD">
        <w:t>edia (</w:t>
      </w:r>
      <w:r>
        <w:t xml:space="preserve">CSOM), which is </w:t>
      </w:r>
      <w:r w:rsidRPr="002055BD">
        <w:t xml:space="preserve">persistent disease and large perforation size. </w:t>
      </w:r>
      <w:r>
        <w:t xml:space="preserve">Treatment recommendations for </w:t>
      </w:r>
      <w:proofErr w:type="spellStart"/>
      <w:r>
        <w:t>AOMwiP</w:t>
      </w:r>
      <w:proofErr w:type="spellEnd"/>
      <w:r>
        <w:t xml:space="preserve"> include long oral courses of antibiotics; </w:t>
      </w:r>
      <w:r w:rsidRPr="002055BD">
        <w:t xml:space="preserve">recommendations for </w:t>
      </w:r>
      <w:r>
        <w:t>CSOM</w:t>
      </w:r>
      <w:r w:rsidRPr="002055BD">
        <w:t xml:space="preserve"> include weekly clinic reviews to monitor progress, frequent daily ear cleaning and topical antibiotic drops for many months</w:t>
      </w:r>
      <w:r>
        <w:t>.</w:t>
      </w:r>
      <w:r>
        <w:rPr>
          <w:vertAlign w:val="superscript"/>
        </w:rPr>
        <w:t>7</w:t>
      </w:r>
      <w:r w:rsidRPr="00AD1565">
        <w:rPr>
          <w:vertAlign w:val="superscript"/>
        </w:rPr>
        <w:t>,</w:t>
      </w:r>
      <w:r>
        <w:rPr>
          <w:vertAlign w:val="superscript"/>
        </w:rPr>
        <w:t>8</w:t>
      </w:r>
    </w:p>
    <w:p w:rsidR="00BA6265" w:rsidRDefault="00BA6265" w:rsidP="006C0B32"/>
    <w:p w:rsidR="00BA6265" w:rsidRDefault="00BA6265" w:rsidP="006C0B32">
      <w:r w:rsidRPr="002055BD">
        <w:t>In 2002</w:t>
      </w:r>
      <w:r>
        <w:t>,</w:t>
      </w:r>
      <w:r w:rsidRPr="002055BD">
        <w:t xml:space="preserve"> the prevalence of tympanic membrane perforations among children </w:t>
      </w:r>
      <w:r>
        <w:t xml:space="preserve">of </w:t>
      </w:r>
      <w:r w:rsidRPr="002055BD">
        <w:t>si</w:t>
      </w:r>
      <w:r>
        <w:t>x</w:t>
      </w:r>
      <w:r w:rsidRPr="002055BD">
        <w:t xml:space="preserve"> to thirty months of age in </w:t>
      </w:r>
      <w:r>
        <w:t xml:space="preserve">two </w:t>
      </w:r>
      <w:r w:rsidRPr="002055BD">
        <w:t>remote communities was 2</w:t>
      </w:r>
      <w:r>
        <w:t>3</w:t>
      </w:r>
      <w:r w:rsidRPr="002055BD">
        <w:t>%</w:t>
      </w:r>
      <w:r>
        <w:t xml:space="preserve"> and 38%.</w:t>
      </w:r>
      <w:r>
        <w:rPr>
          <w:vertAlign w:val="superscript"/>
        </w:rPr>
        <w:t>9</w:t>
      </w:r>
      <w:r w:rsidRPr="002055BD">
        <w:t xml:space="preserve"> In non-Aboriginal children the prevalence is 0.1%</w:t>
      </w:r>
      <w:r>
        <w:t>.</w:t>
      </w:r>
      <w:r>
        <w:rPr>
          <w:vertAlign w:val="superscript"/>
        </w:rPr>
        <w:t>10</w:t>
      </w:r>
      <w:r>
        <w:rPr>
          <w:noProof/>
        </w:rPr>
        <w:t xml:space="preserve"> </w:t>
      </w:r>
      <w:r>
        <w:t xml:space="preserve">Furthermore, </w:t>
      </w:r>
      <w:r w:rsidRPr="002055BD">
        <w:t xml:space="preserve">GP presentations in Australia for severe otitis media were 8% in Indigenous populations and 2% in </w:t>
      </w:r>
      <w:proofErr w:type="spellStart"/>
      <w:r w:rsidRPr="002055BD">
        <w:t>non</w:t>
      </w:r>
      <w:r>
        <w:t xml:space="preserve"> </w:t>
      </w:r>
      <w:r w:rsidRPr="002055BD">
        <w:t>Indigenous</w:t>
      </w:r>
      <w:proofErr w:type="spellEnd"/>
      <w:r w:rsidRPr="002055BD">
        <w:t xml:space="preserve"> populations</w:t>
      </w:r>
      <w:r>
        <w:t xml:space="preserve"> and</w:t>
      </w:r>
      <w:r w:rsidRPr="002055BD">
        <w:t xml:space="preserve"> </w:t>
      </w:r>
      <w:r>
        <w:t>p</w:t>
      </w:r>
      <w:r w:rsidRPr="002055BD">
        <w:t xml:space="preserve">resentations for discharging ears were 40 times </w:t>
      </w:r>
      <w:r>
        <w:t xml:space="preserve">greater </w:t>
      </w:r>
      <w:r w:rsidRPr="002055BD">
        <w:t>(4% versus 0.1%)</w:t>
      </w:r>
      <w:r>
        <w:t>.</w:t>
      </w:r>
      <w:r w:rsidRPr="003C76C1">
        <w:rPr>
          <w:vertAlign w:val="superscript"/>
        </w:rPr>
        <w:t>10</w:t>
      </w:r>
      <w:r>
        <w:t xml:space="preserve"> In an Australia wide survey, ear problems were the fourth most common problem managed overall, with otitis media seen more commonly in Indigenous than </w:t>
      </w:r>
      <w:proofErr w:type="spellStart"/>
      <w:r>
        <w:t>non Indigenous</w:t>
      </w:r>
      <w:proofErr w:type="spellEnd"/>
      <w:r>
        <w:t xml:space="preserve"> children (10% versus 7% of consultations).</w:t>
      </w:r>
      <w:r w:rsidRPr="00D22AC5">
        <w:rPr>
          <w:vertAlign w:val="superscript"/>
        </w:rPr>
        <w:t>10</w:t>
      </w:r>
    </w:p>
    <w:p w:rsidR="00BA6265" w:rsidRDefault="00BA6265" w:rsidP="006C0B32"/>
    <w:p w:rsidR="00BA6265" w:rsidRDefault="00BA6265" w:rsidP="006C0B32">
      <w:pPr>
        <w:rPr>
          <w:color w:val="000000"/>
          <w:lang w:eastAsia="en-US"/>
        </w:rPr>
      </w:pPr>
      <w:r w:rsidRPr="002055BD">
        <w:rPr>
          <w:color w:val="000000"/>
          <w:lang w:eastAsia="en-US"/>
        </w:rPr>
        <w:t xml:space="preserve">Indigenous families living in remote communities struggle to provide the level of care needed for the effective resolution of </w:t>
      </w:r>
      <w:r>
        <w:rPr>
          <w:color w:val="000000"/>
          <w:lang w:eastAsia="en-US"/>
        </w:rPr>
        <w:t xml:space="preserve">otitis media </w:t>
      </w:r>
      <w:r w:rsidRPr="002055BD">
        <w:rPr>
          <w:color w:val="000000"/>
          <w:lang w:eastAsia="en-US"/>
        </w:rPr>
        <w:t>in their children</w:t>
      </w:r>
      <w:r>
        <w:rPr>
          <w:color w:val="000000"/>
          <w:lang w:eastAsia="en-US"/>
        </w:rPr>
        <w:t>, particularly CSOM</w:t>
      </w:r>
      <w:r w:rsidRPr="002055BD">
        <w:rPr>
          <w:color w:val="000000"/>
          <w:lang w:eastAsia="en-US"/>
        </w:rPr>
        <w:t xml:space="preserve">. </w:t>
      </w:r>
      <w:r>
        <w:rPr>
          <w:color w:val="000000"/>
          <w:lang w:eastAsia="en-US"/>
        </w:rPr>
        <w:t>Attendance rates at Aboriginal health services in the Australian Capital Territory for any form of otitis media have typically been low.</w:t>
      </w:r>
      <w:r w:rsidRPr="00AD1565">
        <w:rPr>
          <w:color w:val="000000"/>
          <w:vertAlign w:val="superscript"/>
          <w:lang w:eastAsia="en-US"/>
        </w:rPr>
        <w:t>11</w:t>
      </w:r>
      <w:r>
        <w:rPr>
          <w:color w:val="000000"/>
          <w:lang w:eastAsia="en-US"/>
        </w:rPr>
        <w:t xml:space="preserve"> </w:t>
      </w:r>
      <w:r w:rsidRPr="002055BD">
        <w:rPr>
          <w:color w:val="000000"/>
          <w:lang w:eastAsia="en-US"/>
        </w:rPr>
        <w:t xml:space="preserve">In </w:t>
      </w:r>
      <w:r>
        <w:rPr>
          <w:color w:val="000000"/>
          <w:lang w:eastAsia="en-US"/>
        </w:rPr>
        <w:t xml:space="preserve">the </w:t>
      </w:r>
      <w:r w:rsidRPr="002055BD">
        <w:rPr>
          <w:color w:val="000000"/>
          <w:lang w:eastAsia="en-US"/>
        </w:rPr>
        <w:t>N</w:t>
      </w:r>
      <w:r>
        <w:rPr>
          <w:color w:val="000000"/>
          <w:lang w:eastAsia="en-US"/>
        </w:rPr>
        <w:t xml:space="preserve">T in the first year of life in five separate </w:t>
      </w:r>
      <w:r w:rsidRPr="002055BD">
        <w:rPr>
          <w:color w:val="000000"/>
          <w:lang w:eastAsia="en-US"/>
        </w:rPr>
        <w:t>communities, ear problems were a</w:t>
      </w:r>
      <w:r>
        <w:rPr>
          <w:color w:val="000000"/>
          <w:lang w:eastAsia="en-US"/>
        </w:rPr>
        <w:t xml:space="preserve"> frequent reason for clinic attendance</w:t>
      </w:r>
      <w:r w:rsidRPr="002055BD">
        <w:rPr>
          <w:color w:val="000000"/>
          <w:lang w:eastAsia="en-US"/>
        </w:rPr>
        <w:t>.</w:t>
      </w:r>
      <w:r w:rsidRPr="00AD1565">
        <w:rPr>
          <w:color w:val="000000"/>
          <w:vertAlign w:val="superscript"/>
          <w:lang w:eastAsia="en-US"/>
        </w:rPr>
        <w:t>12</w:t>
      </w:r>
      <w:r w:rsidRPr="002055BD">
        <w:rPr>
          <w:color w:val="000000"/>
          <w:lang w:eastAsia="en-US"/>
        </w:rPr>
        <w:t xml:space="preserve"> However, </w:t>
      </w:r>
      <w:r>
        <w:rPr>
          <w:color w:val="000000"/>
          <w:lang w:eastAsia="en-US"/>
        </w:rPr>
        <w:t xml:space="preserve">considering the high burden of disease, </w:t>
      </w:r>
      <w:r w:rsidRPr="002055BD">
        <w:rPr>
          <w:color w:val="000000"/>
          <w:lang w:eastAsia="en-US"/>
        </w:rPr>
        <w:t xml:space="preserve">attendance </w:t>
      </w:r>
      <w:r>
        <w:rPr>
          <w:color w:val="000000"/>
          <w:lang w:eastAsia="en-US"/>
        </w:rPr>
        <w:t xml:space="preserve">rates are far lower than they should be. </w:t>
      </w:r>
    </w:p>
    <w:p w:rsidR="00BA6265" w:rsidRDefault="00BA6265" w:rsidP="006C0B32">
      <w:pPr>
        <w:rPr>
          <w:color w:val="000000"/>
          <w:lang w:eastAsia="en-US"/>
        </w:rPr>
      </w:pPr>
    </w:p>
    <w:p w:rsidR="00BA6265" w:rsidRDefault="00BA6265" w:rsidP="006C0B32">
      <w:pPr>
        <w:rPr>
          <w:color w:val="000000"/>
          <w:lang w:eastAsia="en-US"/>
        </w:rPr>
      </w:pPr>
      <w:r w:rsidRPr="002055BD">
        <w:rPr>
          <w:color w:val="000000"/>
          <w:lang w:eastAsia="en-US"/>
        </w:rPr>
        <w:t xml:space="preserve">Improving clinic attendance rates and adherence to treatment is likely to improve ear health outcomes for these children. Mobile phone ownership in remote Indigenous communities has increased exponentially with </w:t>
      </w:r>
      <w:r>
        <w:rPr>
          <w:color w:val="000000"/>
          <w:lang w:eastAsia="en-US"/>
        </w:rPr>
        <w:t xml:space="preserve">nearly every </w:t>
      </w:r>
      <w:r w:rsidRPr="002055BD">
        <w:rPr>
          <w:color w:val="000000"/>
          <w:lang w:eastAsia="en-US"/>
        </w:rPr>
        <w:t>household owning a mobile phone</w:t>
      </w:r>
      <w:r>
        <w:rPr>
          <w:color w:val="000000"/>
          <w:lang w:eastAsia="en-US"/>
        </w:rPr>
        <w:t>.</w:t>
      </w:r>
      <w:r>
        <w:rPr>
          <w:color w:val="000000"/>
          <w:vertAlign w:val="superscript"/>
          <w:lang w:eastAsia="en-US"/>
        </w:rPr>
        <w:t>13,14</w:t>
      </w:r>
      <w:r w:rsidRPr="002055BD">
        <w:rPr>
          <w:color w:val="000000"/>
          <w:lang w:eastAsia="en-US"/>
        </w:rPr>
        <w:t xml:space="preserve"> Previous studies have shown </w:t>
      </w:r>
      <w:r>
        <w:rPr>
          <w:color w:val="000000"/>
          <w:lang w:eastAsia="en-US"/>
        </w:rPr>
        <w:t xml:space="preserve">that mobile phone based interventions in low socio economic populations can have </w:t>
      </w:r>
      <w:r w:rsidRPr="002055BD">
        <w:rPr>
          <w:color w:val="000000"/>
          <w:lang w:eastAsia="en-US"/>
        </w:rPr>
        <w:t xml:space="preserve">significant benefits in </w:t>
      </w:r>
      <w:r>
        <w:rPr>
          <w:color w:val="000000"/>
          <w:lang w:eastAsia="en-US"/>
        </w:rPr>
        <w:t xml:space="preserve">terms of clinic </w:t>
      </w:r>
      <w:r w:rsidRPr="002055BD">
        <w:rPr>
          <w:color w:val="000000"/>
          <w:lang w:eastAsia="en-US"/>
        </w:rPr>
        <w:t>attendance, long-term adherence to treatment plans and medication compliance</w:t>
      </w:r>
      <w:r>
        <w:rPr>
          <w:color w:val="000000"/>
          <w:lang w:eastAsia="en-US"/>
        </w:rPr>
        <w:t>.</w:t>
      </w:r>
      <w:r w:rsidRPr="00AD1565">
        <w:rPr>
          <w:color w:val="000000"/>
          <w:vertAlign w:val="superscript"/>
          <w:lang w:eastAsia="en-US"/>
        </w:rPr>
        <w:t>1</w:t>
      </w:r>
      <w:r>
        <w:rPr>
          <w:color w:val="000000"/>
          <w:vertAlign w:val="superscript"/>
          <w:lang w:eastAsia="en-US"/>
        </w:rPr>
        <w:t>3–18</w:t>
      </w:r>
      <w:r>
        <w:rPr>
          <w:color w:val="000000"/>
          <w:lang w:eastAsia="en-US"/>
        </w:rPr>
        <w:t xml:space="preserve"> Personalised text messages were more effective than generic messages.</w:t>
      </w:r>
    </w:p>
    <w:p w:rsidR="00BA6265" w:rsidRDefault="00BA6265" w:rsidP="006C0B32">
      <w:pPr>
        <w:rPr>
          <w:color w:val="000000"/>
          <w:lang w:eastAsia="en-US"/>
        </w:rPr>
      </w:pPr>
    </w:p>
    <w:p w:rsidR="00B25816" w:rsidRDefault="00BA6265" w:rsidP="00B25816">
      <w:pPr>
        <w:spacing w:after="360"/>
        <w:rPr>
          <w:color w:val="000000"/>
          <w:lang w:eastAsia="en-US"/>
        </w:rPr>
      </w:pPr>
      <w:r w:rsidRPr="002055BD">
        <w:rPr>
          <w:color w:val="000000"/>
          <w:lang w:eastAsia="en-US"/>
        </w:rPr>
        <w:t xml:space="preserve">The </w:t>
      </w:r>
      <w:r>
        <w:rPr>
          <w:color w:val="000000"/>
          <w:lang w:eastAsia="en-US"/>
        </w:rPr>
        <w:t>impact</w:t>
      </w:r>
      <w:r w:rsidRPr="002055BD">
        <w:rPr>
          <w:color w:val="000000"/>
          <w:lang w:eastAsia="en-US"/>
        </w:rPr>
        <w:t xml:space="preserve"> of sending text and MMS health messages to remote Australian Indigenous population</w:t>
      </w:r>
      <w:r>
        <w:rPr>
          <w:color w:val="000000"/>
          <w:lang w:eastAsia="en-US"/>
        </w:rPr>
        <w:t>s</w:t>
      </w:r>
      <w:r w:rsidRPr="002055BD">
        <w:rPr>
          <w:color w:val="000000"/>
          <w:lang w:eastAsia="en-US"/>
        </w:rPr>
        <w:t xml:space="preserve"> has not</w:t>
      </w:r>
      <w:r>
        <w:rPr>
          <w:color w:val="000000"/>
          <w:lang w:eastAsia="en-US"/>
        </w:rPr>
        <w:t xml:space="preserve"> previously been evaluated.</w:t>
      </w:r>
      <w:r w:rsidRPr="002055BD">
        <w:rPr>
          <w:color w:val="000000"/>
          <w:lang w:eastAsia="en-US"/>
        </w:rPr>
        <w:t xml:space="preserve"> </w:t>
      </w:r>
      <w:r>
        <w:rPr>
          <w:color w:val="000000"/>
          <w:lang w:eastAsia="en-US"/>
        </w:rPr>
        <w:t xml:space="preserve">This 2010 pilot randomised controlled trial, conducted over six weeks in two remote NT communities, investigated the possible attendance and health benefits of sending regular MMS to families of children </w:t>
      </w:r>
      <w:r w:rsidRPr="002055BD">
        <w:rPr>
          <w:color w:val="000000"/>
          <w:lang w:eastAsia="en-US"/>
        </w:rPr>
        <w:t xml:space="preserve">with </w:t>
      </w:r>
      <w:r>
        <w:rPr>
          <w:color w:val="000000"/>
          <w:lang w:eastAsia="en-US"/>
        </w:rPr>
        <w:t>CSOM</w:t>
      </w:r>
      <w:r w:rsidRPr="002055BD">
        <w:rPr>
          <w:color w:val="000000"/>
          <w:lang w:eastAsia="en-US"/>
        </w:rPr>
        <w:t>.</w:t>
      </w:r>
    </w:p>
    <w:p w:rsidR="00BA6265" w:rsidRDefault="00BA6265" w:rsidP="0025753C">
      <w:pPr>
        <w:pStyle w:val="Heading5"/>
        <w:pBdr>
          <w:top w:val="none" w:sz="0" w:space="0" w:color="auto"/>
          <w:left w:val="none" w:sz="0" w:space="0" w:color="auto"/>
          <w:bottom w:val="none" w:sz="0" w:space="0" w:color="auto"/>
          <w:right w:val="none" w:sz="0" w:space="0" w:color="auto"/>
        </w:pBdr>
        <w:rPr>
          <w:color w:val="365F91"/>
        </w:rPr>
      </w:pPr>
      <w:r w:rsidRPr="00AD1565">
        <w:t>METHODS</w:t>
      </w:r>
    </w:p>
    <w:p w:rsidR="00BA6265" w:rsidRPr="00300C22" w:rsidRDefault="0025753C" w:rsidP="0025753C">
      <w:pPr>
        <w:pStyle w:val="Heading6"/>
      </w:pPr>
      <w:r>
        <w:t>1.1</w:t>
      </w:r>
      <w:r>
        <w:tab/>
      </w:r>
      <w:r w:rsidR="00BA6265" w:rsidRPr="00300C22">
        <w:t>Study design</w:t>
      </w:r>
    </w:p>
    <w:p w:rsidR="00BA6265" w:rsidRDefault="00BA6265" w:rsidP="006C0B32">
      <w:r w:rsidRPr="002055BD">
        <w:t>This was a multi-</w:t>
      </w:r>
      <w:proofErr w:type="gramStart"/>
      <w:r w:rsidRPr="002055BD">
        <w:t>centre,</w:t>
      </w:r>
      <w:proofErr w:type="gramEnd"/>
      <w:r w:rsidRPr="002055BD">
        <w:t xml:space="preserve"> parallel group randomised controlled trial conducted in two remote communities in the Northern Territory</w:t>
      </w:r>
      <w:r>
        <w:t xml:space="preserve"> (NT)</w:t>
      </w:r>
      <w:r w:rsidRPr="002055BD">
        <w:t xml:space="preserve">, Australia. </w:t>
      </w:r>
    </w:p>
    <w:p w:rsidR="00BA6265" w:rsidRPr="00300C22" w:rsidRDefault="0025753C" w:rsidP="0025753C">
      <w:pPr>
        <w:pStyle w:val="Heading6"/>
      </w:pPr>
      <w:r>
        <w:t>1.2</w:t>
      </w:r>
      <w:r>
        <w:tab/>
      </w:r>
      <w:r w:rsidR="00BA6265" w:rsidRPr="00300C22">
        <w:t>Ethics approval</w:t>
      </w:r>
    </w:p>
    <w:p w:rsidR="00C96163" w:rsidRDefault="00BA6265" w:rsidP="00C96163">
      <w:pPr>
        <w:spacing w:after="120"/>
        <w:rPr>
          <w:color w:val="000000"/>
          <w:lang w:eastAsia="en-US"/>
        </w:rPr>
      </w:pPr>
      <w:r w:rsidRPr="002055BD">
        <w:rPr>
          <w:color w:val="000000"/>
          <w:lang w:eastAsia="en-US"/>
        </w:rPr>
        <w:t xml:space="preserve">Informed consent was obtained from parents or guardians. This study was approved by the </w:t>
      </w:r>
      <w:r w:rsidRPr="002055BD">
        <w:rPr>
          <w:rFonts w:eastAsia="Batang"/>
          <w:lang w:eastAsia="ko-KR"/>
        </w:rPr>
        <w:t>Human Research Ethics Committee</w:t>
      </w:r>
      <w:r w:rsidRPr="002055BD">
        <w:t xml:space="preserve"> of the N</w:t>
      </w:r>
      <w:r>
        <w:t>orthern Territory</w:t>
      </w:r>
      <w:r w:rsidRPr="002055BD">
        <w:t xml:space="preserve"> Department of Health and the Menzies School of Health Research (HREC </w:t>
      </w:r>
      <w:r>
        <w:t>–</w:t>
      </w:r>
      <w:r w:rsidRPr="002055BD">
        <w:t xml:space="preserve"> EC00153) </w:t>
      </w:r>
      <w:r w:rsidRPr="002055BD">
        <w:rPr>
          <w:color w:val="000000"/>
          <w:lang w:eastAsia="en-US"/>
        </w:rPr>
        <w:t>and conformed to the provisions of the Declaration of Helsinki in 1995 (as revised in Tokyo 2004).</w:t>
      </w:r>
    </w:p>
    <w:p w:rsidR="00C96163" w:rsidRDefault="00C96163">
      <w:pPr>
        <w:jc w:val="left"/>
        <w:rPr>
          <w:color w:val="000000"/>
          <w:lang w:eastAsia="en-US"/>
        </w:rPr>
      </w:pPr>
      <w:r>
        <w:rPr>
          <w:color w:val="000000"/>
          <w:lang w:eastAsia="en-US"/>
        </w:rPr>
        <w:br w:type="page"/>
      </w:r>
    </w:p>
    <w:p w:rsidR="00BA6265" w:rsidRPr="00300C22" w:rsidRDefault="0025753C" w:rsidP="0025753C">
      <w:pPr>
        <w:pStyle w:val="Heading6"/>
      </w:pPr>
      <w:r>
        <w:lastRenderedPageBreak/>
        <w:t>1.3</w:t>
      </w:r>
      <w:r>
        <w:tab/>
      </w:r>
      <w:r w:rsidR="00BA6265" w:rsidRPr="00300C22">
        <w:t>Study settings</w:t>
      </w:r>
    </w:p>
    <w:p w:rsidR="00BA6265" w:rsidRDefault="00BA6265" w:rsidP="006C0B32">
      <w:r w:rsidRPr="002055BD">
        <w:t>The study took place</w:t>
      </w:r>
      <w:r>
        <w:t xml:space="preserve"> over a six week period</w:t>
      </w:r>
      <w:r w:rsidRPr="002055BD">
        <w:t xml:space="preserve"> in</w:t>
      </w:r>
      <w:r>
        <w:t xml:space="preserve"> </w:t>
      </w:r>
      <w:r w:rsidRPr="002055BD">
        <w:t>two remote</w:t>
      </w:r>
      <w:r>
        <w:t xml:space="preserve"> NT </w:t>
      </w:r>
      <w:r w:rsidRPr="002055BD">
        <w:t xml:space="preserve">Indigenous communities between October and December 2010. Both communities have a medical clinic with a full-time doctor on site. Children are able to visit the doctor, nurse or Aboriginal </w:t>
      </w:r>
      <w:r>
        <w:t>h</w:t>
      </w:r>
      <w:r w:rsidRPr="002055BD">
        <w:t xml:space="preserve">ealth </w:t>
      </w:r>
      <w:r>
        <w:t>w</w:t>
      </w:r>
      <w:r w:rsidRPr="002055BD">
        <w:t>orker on any working day</w:t>
      </w:r>
      <w:r>
        <w:t>,</w:t>
      </w:r>
      <w:r w:rsidRPr="002055BD">
        <w:t xml:space="preserve"> without an appointment. </w:t>
      </w:r>
      <w:r>
        <w:t>I</w:t>
      </w:r>
      <w:r w:rsidRPr="002055BD">
        <w:t>n these communities</w:t>
      </w:r>
      <w:r>
        <w:t>,</w:t>
      </w:r>
      <w:r w:rsidRPr="002055BD">
        <w:t xml:space="preserve"> English is generally a seldom</w:t>
      </w:r>
      <w:r>
        <w:t xml:space="preserve"> </w:t>
      </w:r>
      <w:r w:rsidRPr="002055BD">
        <w:t xml:space="preserve">used second language. </w:t>
      </w:r>
    </w:p>
    <w:p w:rsidR="00BA6265" w:rsidRPr="00300C22" w:rsidRDefault="0025753C" w:rsidP="0025753C">
      <w:pPr>
        <w:pStyle w:val="Heading6"/>
      </w:pPr>
      <w:r>
        <w:t>1.4</w:t>
      </w:r>
      <w:r>
        <w:tab/>
      </w:r>
      <w:r w:rsidR="00BA6265" w:rsidRPr="00300C22">
        <w:t>Participants</w:t>
      </w:r>
    </w:p>
    <w:p w:rsidR="00BA6265" w:rsidRDefault="00BA6265" w:rsidP="00660039">
      <w:pPr>
        <w:contextualSpacing/>
        <w:rPr>
          <w:color w:val="000000"/>
          <w:lang w:eastAsia="en-US"/>
        </w:rPr>
      </w:pPr>
      <w:r>
        <w:rPr>
          <w:color w:val="000000"/>
          <w:lang w:eastAsia="en-US"/>
        </w:rPr>
        <w:t xml:space="preserve">To be eligible for inclusion in the study, participants had to have all of the following: (i) be an </w:t>
      </w:r>
      <w:r w:rsidRPr="002055BD">
        <w:rPr>
          <w:color w:val="000000"/>
          <w:lang w:eastAsia="en-US"/>
        </w:rPr>
        <w:t>Indigenous child</w:t>
      </w:r>
      <w:r>
        <w:rPr>
          <w:color w:val="000000"/>
          <w:lang w:eastAsia="en-US"/>
        </w:rPr>
        <w:t xml:space="preserve"> </w:t>
      </w:r>
      <w:r w:rsidRPr="002055BD">
        <w:rPr>
          <w:color w:val="000000"/>
          <w:lang w:eastAsia="en-US"/>
        </w:rPr>
        <w:t xml:space="preserve">aged </w:t>
      </w:r>
      <w:r>
        <w:rPr>
          <w:color w:val="000000"/>
          <w:lang w:eastAsia="en-US"/>
        </w:rPr>
        <w:t>13 years or under; (ii)</w:t>
      </w:r>
      <w:r w:rsidRPr="002055BD">
        <w:rPr>
          <w:color w:val="000000"/>
          <w:lang w:eastAsia="en-US"/>
        </w:rPr>
        <w:t xml:space="preserve"> </w:t>
      </w:r>
      <w:r>
        <w:rPr>
          <w:color w:val="000000"/>
          <w:lang w:eastAsia="en-US"/>
        </w:rPr>
        <w:t>have</w:t>
      </w:r>
      <w:r w:rsidRPr="002055BD">
        <w:rPr>
          <w:color w:val="000000"/>
          <w:lang w:eastAsia="en-US"/>
        </w:rPr>
        <w:t xml:space="preserve"> a tympanic membrane perforation (acute or chronic)</w:t>
      </w:r>
      <w:r>
        <w:rPr>
          <w:color w:val="000000"/>
          <w:lang w:eastAsia="en-US"/>
        </w:rPr>
        <w:t>; (iii)</w:t>
      </w:r>
      <w:r w:rsidRPr="002055BD">
        <w:rPr>
          <w:color w:val="000000"/>
          <w:lang w:eastAsia="en-US"/>
        </w:rPr>
        <w:t xml:space="preserve"> </w:t>
      </w:r>
      <w:r>
        <w:rPr>
          <w:color w:val="000000"/>
          <w:lang w:eastAsia="en-US"/>
        </w:rPr>
        <w:t xml:space="preserve">live in one of </w:t>
      </w:r>
      <w:r w:rsidRPr="002055BD">
        <w:rPr>
          <w:color w:val="000000"/>
          <w:lang w:eastAsia="en-US"/>
        </w:rPr>
        <w:t xml:space="preserve">the </w:t>
      </w:r>
      <w:r>
        <w:rPr>
          <w:color w:val="000000"/>
          <w:lang w:eastAsia="en-US"/>
        </w:rPr>
        <w:t xml:space="preserve">two remote </w:t>
      </w:r>
      <w:r w:rsidRPr="002055BD">
        <w:rPr>
          <w:color w:val="000000"/>
          <w:lang w:eastAsia="en-US"/>
        </w:rPr>
        <w:t>communit</w:t>
      </w:r>
      <w:r>
        <w:rPr>
          <w:color w:val="000000"/>
          <w:lang w:eastAsia="en-US"/>
        </w:rPr>
        <w:t>ies</w:t>
      </w:r>
      <w:r w:rsidRPr="002055BD">
        <w:rPr>
          <w:color w:val="000000"/>
          <w:lang w:eastAsia="en-US"/>
        </w:rPr>
        <w:t xml:space="preserve"> long term</w:t>
      </w:r>
      <w:r>
        <w:rPr>
          <w:color w:val="000000"/>
          <w:lang w:eastAsia="en-US"/>
        </w:rPr>
        <w:t>; and (iv) have a parent</w:t>
      </w:r>
      <w:r w:rsidRPr="00123023">
        <w:rPr>
          <w:color w:val="000000"/>
          <w:lang w:eastAsia="en-US"/>
        </w:rPr>
        <w:t>/carer or other family member living in the same household with a working mobile phone</w:t>
      </w:r>
      <w:r>
        <w:rPr>
          <w:color w:val="000000"/>
          <w:lang w:eastAsia="en-US"/>
        </w:rPr>
        <w:t xml:space="preserve"> who was willing to provide its number to us.</w:t>
      </w:r>
    </w:p>
    <w:p w:rsidR="00BA6265" w:rsidRPr="00300C22" w:rsidRDefault="0025753C" w:rsidP="0025753C">
      <w:pPr>
        <w:pStyle w:val="Heading6"/>
      </w:pPr>
      <w:r>
        <w:t>1.5</w:t>
      </w:r>
      <w:r>
        <w:tab/>
      </w:r>
      <w:r w:rsidR="00BA6265" w:rsidRPr="00300C22">
        <w:t xml:space="preserve">Intervention </w:t>
      </w:r>
    </w:p>
    <w:p w:rsidR="00BA6265" w:rsidRDefault="00BA6265" w:rsidP="00660039">
      <w:pPr>
        <w:contextualSpacing/>
        <w:rPr>
          <w:color w:val="000000"/>
          <w:lang w:eastAsia="en-US"/>
        </w:rPr>
      </w:pPr>
      <w:r>
        <w:rPr>
          <w:color w:val="000000"/>
          <w:lang w:eastAsia="en-US"/>
        </w:rPr>
        <w:t>Eligible p</w:t>
      </w:r>
      <w:r w:rsidRPr="002055BD">
        <w:rPr>
          <w:color w:val="000000"/>
          <w:lang w:eastAsia="en-US"/>
        </w:rPr>
        <w:t>articipants were randomised</w:t>
      </w:r>
      <w:r>
        <w:rPr>
          <w:color w:val="000000"/>
          <w:lang w:eastAsia="en-US"/>
        </w:rPr>
        <w:t xml:space="preserve"> into two groups: intervention and control. The parent or primary carer (or someone else in the household with a mobile phone) of those in the intervention group were sent seven multimedia ear health related messages (MMS) </w:t>
      </w:r>
      <w:r w:rsidRPr="002055BD">
        <w:rPr>
          <w:color w:val="000000"/>
          <w:lang w:eastAsia="en-US"/>
        </w:rPr>
        <w:t xml:space="preserve">in </w:t>
      </w:r>
      <w:r>
        <w:rPr>
          <w:color w:val="000000"/>
          <w:lang w:eastAsia="en-US"/>
        </w:rPr>
        <w:t xml:space="preserve">the locally dominant </w:t>
      </w:r>
      <w:r w:rsidRPr="002055BD">
        <w:rPr>
          <w:color w:val="000000"/>
          <w:lang w:eastAsia="en-US"/>
        </w:rPr>
        <w:t>Indigenous language</w:t>
      </w:r>
      <w:r>
        <w:rPr>
          <w:color w:val="000000"/>
          <w:lang w:eastAsia="en-US"/>
        </w:rPr>
        <w:t xml:space="preserve">, every four days, with a window of </w:t>
      </w:r>
      <w:r w:rsidRPr="00EC1307">
        <w:rPr>
          <w:color w:val="000000"/>
          <w:lang w:eastAsia="en-US"/>
        </w:rPr>
        <w:t>± 24</w:t>
      </w:r>
      <w:r>
        <w:rPr>
          <w:color w:val="000000"/>
          <w:lang w:eastAsia="en-US"/>
        </w:rPr>
        <w:t xml:space="preserve"> hours. </w:t>
      </w:r>
      <w:r w:rsidRPr="002055BD">
        <w:rPr>
          <w:color w:val="000000"/>
          <w:lang w:eastAsia="en-US"/>
        </w:rPr>
        <w:t xml:space="preserve">The </w:t>
      </w:r>
      <w:r>
        <w:rPr>
          <w:color w:val="000000"/>
          <w:lang w:eastAsia="en-US"/>
        </w:rPr>
        <w:t xml:space="preserve">MMS were </w:t>
      </w:r>
      <w:r w:rsidRPr="002055BD">
        <w:rPr>
          <w:color w:val="000000"/>
          <w:lang w:eastAsia="en-US"/>
        </w:rPr>
        <w:t>accompan</w:t>
      </w:r>
      <w:r>
        <w:rPr>
          <w:color w:val="000000"/>
          <w:lang w:eastAsia="en-US"/>
        </w:rPr>
        <w:t>ied by</w:t>
      </w:r>
      <w:r w:rsidRPr="002055BD">
        <w:rPr>
          <w:color w:val="000000"/>
          <w:lang w:eastAsia="en-US"/>
        </w:rPr>
        <w:t xml:space="preserve"> personalised </w:t>
      </w:r>
      <w:r>
        <w:rPr>
          <w:color w:val="000000"/>
          <w:lang w:eastAsia="en-US"/>
        </w:rPr>
        <w:t xml:space="preserve">ear health text </w:t>
      </w:r>
      <w:r w:rsidRPr="002055BD">
        <w:rPr>
          <w:color w:val="000000"/>
          <w:lang w:eastAsia="en-US"/>
        </w:rPr>
        <w:t xml:space="preserve">messages in English </w:t>
      </w:r>
      <w:r>
        <w:rPr>
          <w:color w:val="000000"/>
          <w:lang w:eastAsia="en-US"/>
        </w:rPr>
        <w:t xml:space="preserve">that included a prompt to visit the clinic for the children’s health </w:t>
      </w:r>
      <w:proofErr w:type="spellStart"/>
      <w:r>
        <w:rPr>
          <w:color w:val="000000"/>
          <w:lang w:eastAsia="en-US"/>
        </w:rPr>
        <w:t>check ups</w:t>
      </w:r>
      <w:proofErr w:type="spellEnd"/>
      <w:r>
        <w:rPr>
          <w:color w:val="000000"/>
          <w:lang w:eastAsia="en-US"/>
        </w:rPr>
        <w:t>.</w:t>
      </w:r>
      <w:r w:rsidRPr="002055BD">
        <w:rPr>
          <w:color w:val="000000"/>
          <w:lang w:eastAsia="en-US"/>
        </w:rPr>
        <w:t xml:space="preserve"> </w:t>
      </w:r>
    </w:p>
    <w:p w:rsidR="00BA6265" w:rsidRDefault="00BA6265" w:rsidP="00660039">
      <w:pPr>
        <w:contextualSpacing/>
        <w:rPr>
          <w:color w:val="000000"/>
          <w:lang w:eastAsia="en-US"/>
        </w:rPr>
      </w:pPr>
    </w:p>
    <w:p w:rsidR="00BA6265" w:rsidRDefault="00BA6265" w:rsidP="00660039">
      <w:pPr>
        <w:contextualSpacing/>
        <w:rPr>
          <w:color w:val="000000"/>
          <w:lang w:eastAsia="en-US"/>
        </w:rPr>
      </w:pPr>
      <w:r>
        <w:rPr>
          <w:color w:val="000000"/>
          <w:lang w:eastAsia="en-US"/>
        </w:rPr>
        <w:t xml:space="preserve">The control group received no MMS and accompanying text messages. However, both groups received two </w:t>
      </w:r>
      <w:proofErr w:type="spellStart"/>
      <w:r>
        <w:rPr>
          <w:color w:val="000000"/>
          <w:lang w:eastAsia="en-US"/>
        </w:rPr>
        <w:t>stand alone</w:t>
      </w:r>
      <w:proofErr w:type="spellEnd"/>
      <w:r>
        <w:rPr>
          <w:color w:val="000000"/>
          <w:lang w:eastAsia="en-US"/>
        </w:rPr>
        <w:t xml:space="preserve"> text messages in English, one at the start acknowledging their participation in the study and one at the end asking them to attend the clinic for the final assessment. </w:t>
      </w:r>
      <w:r w:rsidRPr="002055BD">
        <w:rPr>
          <w:color w:val="000000"/>
          <w:lang w:eastAsia="en-US"/>
        </w:rPr>
        <w:t>Both the intervention and control groups also received an information sheet giving details about treatment and stating that the child should attend the clinic each week for care as recommended by local clinical practice guidelines.</w:t>
      </w:r>
    </w:p>
    <w:p w:rsidR="00BA6265" w:rsidRPr="002055BD" w:rsidRDefault="00BA6265" w:rsidP="00660039">
      <w:pPr>
        <w:contextualSpacing/>
        <w:rPr>
          <w:color w:val="000000"/>
          <w:lang w:eastAsia="en-US"/>
        </w:rPr>
      </w:pPr>
    </w:p>
    <w:p w:rsidR="00BA6265" w:rsidRDefault="00BA6265" w:rsidP="00660039">
      <w:pPr>
        <w:contextualSpacing/>
        <w:rPr>
          <w:color w:val="000000"/>
          <w:lang w:eastAsia="en-US"/>
        </w:rPr>
      </w:pPr>
      <w:r w:rsidRPr="002055BD">
        <w:rPr>
          <w:color w:val="000000"/>
          <w:lang w:eastAsia="en-US"/>
        </w:rPr>
        <w:t>The messages were sent using the Telstra Online Text Buddy system. The video</w:t>
      </w:r>
      <w:r>
        <w:rPr>
          <w:color w:val="000000"/>
          <w:lang w:eastAsia="en-US"/>
        </w:rPr>
        <w:t>s</w:t>
      </w:r>
      <w:r w:rsidRPr="002055BD">
        <w:rPr>
          <w:color w:val="000000"/>
          <w:lang w:eastAsia="en-US"/>
        </w:rPr>
        <w:t xml:space="preserve"> w</w:t>
      </w:r>
      <w:r>
        <w:rPr>
          <w:color w:val="000000"/>
          <w:lang w:eastAsia="en-US"/>
        </w:rPr>
        <w:t>ere</w:t>
      </w:r>
      <w:r w:rsidRPr="002055BD">
        <w:rPr>
          <w:color w:val="000000"/>
          <w:lang w:eastAsia="en-US"/>
        </w:rPr>
        <w:t xml:space="preserve"> short caricature animation</w:t>
      </w:r>
      <w:r>
        <w:rPr>
          <w:color w:val="000000"/>
          <w:lang w:eastAsia="en-US"/>
        </w:rPr>
        <w:t>s</w:t>
      </w:r>
      <w:r w:rsidRPr="002055BD">
        <w:rPr>
          <w:color w:val="000000"/>
          <w:lang w:eastAsia="en-US"/>
        </w:rPr>
        <w:t xml:space="preserve"> of well-respected Indigenous people, such as elder</w:t>
      </w:r>
      <w:r>
        <w:rPr>
          <w:color w:val="000000"/>
          <w:lang w:eastAsia="en-US"/>
        </w:rPr>
        <w:t>s</w:t>
      </w:r>
      <w:r w:rsidRPr="002055BD">
        <w:rPr>
          <w:color w:val="000000"/>
          <w:lang w:eastAsia="en-US"/>
        </w:rPr>
        <w:t>, grandparent</w:t>
      </w:r>
      <w:r>
        <w:rPr>
          <w:color w:val="000000"/>
          <w:lang w:eastAsia="en-US"/>
        </w:rPr>
        <w:t>s, Aboriginal h</w:t>
      </w:r>
      <w:r w:rsidRPr="002055BD">
        <w:rPr>
          <w:color w:val="000000"/>
          <w:lang w:eastAsia="en-US"/>
        </w:rPr>
        <w:t xml:space="preserve">ealth </w:t>
      </w:r>
      <w:r>
        <w:rPr>
          <w:color w:val="000000"/>
          <w:lang w:eastAsia="en-US"/>
        </w:rPr>
        <w:t>w</w:t>
      </w:r>
      <w:r w:rsidRPr="002055BD">
        <w:rPr>
          <w:color w:val="000000"/>
          <w:lang w:eastAsia="en-US"/>
        </w:rPr>
        <w:t>orker</w:t>
      </w:r>
      <w:r>
        <w:rPr>
          <w:color w:val="000000"/>
          <w:lang w:eastAsia="en-US"/>
        </w:rPr>
        <w:t>s</w:t>
      </w:r>
      <w:r w:rsidRPr="002055BD">
        <w:rPr>
          <w:color w:val="000000"/>
          <w:lang w:eastAsia="en-US"/>
        </w:rPr>
        <w:t xml:space="preserve"> or football player</w:t>
      </w:r>
      <w:r>
        <w:rPr>
          <w:color w:val="000000"/>
          <w:lang w:eastAsia="en-US"/>
        </w:rPr>
        <w:t>s</w:t>
      </w:r>
      <w:r w:rsidRPr="002055BD">
        <w:rPr>
          <w:color w:val="000000"/>
          <w:lang w:eastAsia="en-US"/>
        </w:rPr>
        <w:t>. The emphasis of each video was to remind families of the importance of hearing in an Aboriginal context</w:t>
      </w:r>
      <w:r>
        <w:rPr>
          <w:color w:val="000000"/>
          <w:lang w:eastAsia="en-US"/>
        </w:rPr>
        <w:t>. For example,</w:t>
      </w:r>
      <w:r w:rsidRPr="002055BD">
        <w:rPr>
          <w:color w:val="000000"/>
          <w:lang w:eastAsia="en-US"/>
        </w:rPr>
        <w:t xml:space="preserve"> “to be a good hunter, you need good hearing” or “to be a good footballer, you need to be able to hear well – remember to go to the clinic this week to get your ears checked</w:t>
      </w:r>
      <w:r w:rsidRPr="00AD1565">
        <w:rPr>
          <w:color w:val="000000"/>
          <w:lang w:eastAsia="en-US"/>
        </w:rPr>
        <w:t>.”</w:t>
      </w:r>
    </w:p>
    <w:p w:rsidR="00BA6265" w:rsidRDefault="00BA6265" w:rsidP="00017BB6">
      <w:pPr>
        <w:pStyle w:val="Heading7"/>
      </w:pPr>
      <w:r w:rsidRPr="002055BD">
        <w:t>Ear assessments</w:t>
      </w:r>
    </w:p>
    <w:p w:rsidR="00BA6265" w:rsidRDefault="00BA6265" w:rsidP="00660039">
      <w:pPr>
        <w:contextualSpacing/>
        <w:rPr>
          <w:color w:val="000000"/>
          <w:lang w:eastAsia="en-US"/>
        </w:rPr>
      </w:pPr>
      <w:r w:rsidRPr="002055BD">
        <w:rPr>
          <w:color w:val="000000"/>
          <w:lang w:eastAsia="en-US"/>
        </w:rPr>
        <w:t>An initial detailed ear examination was performed on each child</w:t>
      </w:r>
      <w:r>
        <w:rPr>
          <w:color w:val="000000"/>
          <w:lang w:eastAsia="en-US"/>
        </w:rPr>
        <w:t xml:space="preserve"> and</w:t>
      </w:r>
      <w:r w:rsidRPr="002055BD">
        <w:rPr>
          <w:color w:val="000000"/>
          <w:lang w:eastAsia="en-US"/>
        </w:rPr>
        <w:t xml:space="preserve"> </w:t>
      </w:r>
      <w:r>
        <w:rPr>
          <w:color w:val="000000"/>
          <w:lang w:eastAsia="en-US"/>
        </w:rPr>
        <w:t>s</w:t>
      </w:r>
      <w:r w:rsidRPr="002055BD">
        <w:rPr>
          <w:color w:val="000000"/>
          <w:lang w:eastAsia="en-US"/>
        </w:rPr>
        <w:t>tandardised data forms were used to record the findings and document baseline demographic and medical information. Using recommended clinical criteria for diagnosis in this population</w:t>
      </w:r>
      <w:r>
        <w:rPr>
          <w:color w:val="000000"/>
          <w:lang w:eastAsia="en-US"/>
        </w:rPr>
        <w:t>,</w:t>
      </w:r>
      <w:r w:rsidRPr="00AD1565">
        <w:rPr>
          <w:color w:val="000000"/>
          <w:vertAlign w:val="superscript"/>
          <w:lang w:eastAsia="en-US"/>
        </w:rPr>
        <w:t>7</w:t>
      </w:r>
      <w:r w:rsidRPr="002055BD">
        <w:rPr>
          <w:color w:val="000000"/>
          <w:lang w:eastAsia="en-US"/>
        </w:rPr>
        <w:t xml:space="preserve"> we categorised middle ear states as follows: [0] normal; [1] normal mobility but abnormal appearance; [2] retracted mobile drum; [3] otitis media with effusion; [4] acute otitis media without perforation</w:t>
      </w:r>
      <w:r>
        <w:rPr>
          <w:color w:val="000000"/>
          <w:lang w:eastAsia="en-US"/>
        </w:rPr>
        <w:t xml:space="preserve"> (</w:t>
      </w:r>
      <w:proofErr w:type="spellStart"/>
      <w:r>
        <w:rPr>
          <w:color w:val="000000"/>
          <w:lang w:eastAsia="en-US"/>
        </w:rPr>
        <w:t>AOMwoP</w:t>
      </w:r>
      <w:proofErr w:type="spellEnd"/>
      <w:r>
        <w:rPr>
          <w:color w:val="000000"/>
          <w:lang w:eastAsia="en-US"/>
        </w:rPr>
        <w:t>)</w:t>
      </w:r>
      <w:r w:rsidRPr="002055BD">
        <w:rPr>
          <w:color w:val="000000"/>
          <w:lang w:eastAsia="en-US"/>
        </w:rPr>
        <w:t>; [5] acute otitis media with perforation</w:t>
      </w:r>
      <w:r>
        <w:rPr>
          <w:color w:val="000000"/>
          <w:lang w:eastAsia="en-US"/>
        </w:rPr>
        <w:t xml:space="preserve"> (</w:t>
      </w:r>
      <w:proofErr w:type="spellStart"/>
      <w:r>
        <w:rPr>
          <w:color w:val="000000"/>
          <w:lang w:eastAsia="en-US"/>
        </w:rPr>
        <w:t>AOMwiP</w:t>
      </w:r>
      <w:proofErr w:type="spellEnd"/>
      <w:r>
        <w:rPr>
          <w:color w:val="000000"/>
          <w:lang w:eastAsia="en-US"/>
        </w:rPr>
        <w:t>)</w:t>
      </w:r>
      <w:r w:rsidRPr="002055BD">
        <w:rPr>
          <w:color w:val="000000"/>
          <w:lang w:eastAsia="en-US"/>
        </w:rPr>
        <w:t>;</w:t>
      </w:r>
      <w:r w:rsidRPr="002055BD">
        <w:t xml:space="preserve"> [6] dry perforation</w:t>
      </w:r>
      <w:r>
        <w:t xml:space="preserve"> (DP)</w:t>
      </w:r>
      <w:r w:rsidRPr="002055BD">
        <w:t xml:space="preserve">; and [7] chronic </w:t>
      </w:r>
      <w:proofErr w:type="spellStart"/>
      <w:r w:rsidRPr="002055BD">
        <w:t>suppurative</w:t>
      </w:r>
      <w:proofErr w:type="spellEnd"/>
      <w:r w:rsidRPr="002055BD">
        <w:t xml:space="preserve"> otitis media</w:t>
      </w:r>
      <w:r>
        <w:t xml:space="preserve"> (CSOM)</w:t>
      </w:r>
      <w:r w:rsidRPr="002055BD">
        <w:t xml:space="preserve">. Children with </w:t>
      </w:r>
      <w:r>
        <w:t xml:space="preserve">a </w:t>
      </w:r>
      <w:r w:rsidRPr="002055BD">
        <w:t xml:space="preserve">diagnosis of </w:t>
      </w:r>
      <w:r>
        <w:t xml:space="preserve">5, 6 or 7 for </w:t>
      </w:r>
      <w:r w:rsidRPr="002055BD">
        <w:t xml:space="preserve">one or both ears were eligible to participate. </w:t>
      </w:r>
      <w:r>
        <w:t>The overall diagnosis reflected the state of the child’s more severely affected ear.</w:t>
      </w:r>
      <w:r>
        <w:rPr>
          <w:color w:val="000000"/>
          <w:lang w:eastAsia="en-US"/>
        </w:rPr>
        <w:t xml:space="preserve"> After this initial assessment, eligible children were randomised and a</w:t>
      </w:r>
      <w:r w:rsidRPr="002055BD">
        <w:rPr>
          <w:color w:val="000000"/>
          <w:lang w:eastAsia="en-US"/>
        </w:rPr>
        <w:t>ssessors were blinded to the intervention allocation</w:t>
      </w:r>
      <w:r>
        <w:rPr>
          <w:color w:val="000000"/>
          <w:lang w:eastAsia="en-US"/>
        </w:rPr>
        <w:t>s</w:t>
      </w:r>
      <w:r w:rsidRPr="002055BD">
        <w:rPr>
          <w:color w:val="000000"/>
          <w:lang w:eastAsia="en-US"/>
        </w:rPr>
        <w:t>.</w:t>
      </w:r>
      <w:r>
        <w:rPr>
          <w:color w:val="000000"/>
          <w:lang w:eastAsia="en-US"/>
        </w:rPr>
        <w:t xml:space="preserve"> </w:t>
      </w:r>
      <w:r w:rsidRPr="002055BD">
        <w:rPr>
          <w:color w:val="000000"/>
          <w:lang w:eastAsia="en-US"/>
        </w:rPr>
        <w:t>A</w:t>
      </w:r>
      <w:r>
        <w:rPr>
          <w:color w:val="000000"/>
          <w:lang w:eastAsia="en-US"/>
        </w:rPr>
        <w:t>nother</w:t>
      </w:r>
      <w:r w:rsidRPr="002055BD">
        <w:rPr>
          <w:color w:val="000000"/>
          <w:lang w:eastAsia="en-US"/>
        </w:rPr>
        <w:t xml:space="preserve"> ear examination was conducted at the end of the six</w:t>
      </w:r>
      <w:r>
        <w:rPr>
          <w:color w:val="000000"/>
          <w:lang w:eastAsia="en-US"/>
        </w:rPr>
        <w:t xml:space="preserve"> </w:t>
      </w:r>
      <w:r w:rsidRPr="002055BD">
        <w:rPr>
          <w:color w:val="000000"/>
          <w:lang w:eastAsia="en-US"/>
        </w:rPr>
        <w:t>week trial period</w:t>
      </w:r>
      <w:r>
        <w:rPr>
          <w:color w:val="000000"/>
          <w:lang w:eastAsia="en-US"/>
        </w:rPr>
        <w:t xml:space="preserve"> for comparison</w:t>
      </w:r>
      <w:r w:rsidRPr="002055BD">
        <w:rPr>
          <w:color w:val="000000"/>
          <w:lang w:eastAsia="en-US"/>
        </w:rPr>
        <w:t xml:space="preserve">. </w:t>
      </w:r>
    </w:p>
    <w:p w:rsidR="00BA6265" w:rsidRDefault="00BA6265" w:rsidP="00660039">
      <w:pPr>
        <w:contextualSpacing/>
        <w:rPr>
          <w:color w:val="000000"/>
          <w:lang w:eastAsia="en-US"/>
        </w:rPr>
      </w:pPr>
    </w:p>
    <w:p w:rsidR="00BA6265" w:rsidRPr="002055BD" w:rsidRDefault="00BA6265" w:rsidP="00017BB6">
      <w:pPr>
        <w:contextualSpacing/>
        <w:rPr>
          <w:color w:val="000000"/>
          <w:lang w:eastAsia="en-US"/>
        </w:rPr>
      </w:pPr>
      <w:r>
        <w:rPr>
          <w:color w:val="000000"/>
          <w:lang w:eastAsia="en-US"/>
        </w:rPr>
        <w:t xml:space="preserve">Upon </w:t>
      </w:r>
      <w:r w:rsidRPr="002055BD">
        <w:rPr>
          <w:color w:val="000000"/>
          <w:lang w:eastAsia="en-US"/>
        </w:rPr>
        <w:t xml:space="preserve">completion of the study, a second blinded ear health research officer </w:t>
      </w:r>
      <w:r>
        <w:rPr>
          <w:color w:val="000000"/>
          <w:lang w:eastAsia="en-US"/>
        </w:rPr>
        <w:t>made an independent diagnosis of all the cases that were accompanied by sufficiently clear video footage</w:t>
      </w:r>
      <w:r w:rsidRPr="002055BD">
        <w:rPr>
          <w:color w:val="000000"/>
          <w:lang w:eastAsia="en-US"/>
        </w:rPr>
        <w:t xml:space="preserve">. Where the </w:t>
      </w:r>
      <w:r w:rsidRPr="002055BD">
        <w:rPr>
          <w:color w:val="000000"/>
          <w:lang w:eastAsia="en-US"/>
        </w:rPr>
        <w:lastRenderedPageBreak/>
        <w:t>second blinded assessor’s diagnosis disagreed with the original clinical diagnosis, a consensus diagnosis was made in consultation with a third blinded assessor.</w:t>
      </w:r>
      <w:r w:rsidR="00B25816" w:rsidRPr="002055BD">
        <w:rPr>
          <w:color w:val="000000"/>
          <w:lang w:eastAsia="en-US"/>
        </w:rPr>
        <w:t xml:space="preserve"> </w:t>
      </w:r>
    </w:p>
    <w:p w:rsidR="00BA6265" w:rsidRDefault="00BA6265" w:rsidP="00017BB6">
      <w:pPr>
        <w:pStyle w:val="Heading7"/>
      </w:pPr>
      <w:r w:rsidRPr="00AD1565">
        <w:t>Sample size</w:t>
      </w:r>
    </w:p>
    <w:p w:rsidR="00BA6265" w:rsidRDefault="00BA6265" w:rsidP="006C0B32">
      <w:pPr>
        <w:rPr>
          <w:lang w:eastAsia="en-US"/>
        </w:rPr>
      </w:pPr>
      <w:bookmarkStart w:id="7" w:name="_Toc293669865"/>
      <w:r w:rsidRPr="002055BD">
        <w:rPr>
          <w:lang w:eastAsia="en-US"/>
        </w:rPr>
        <w:t>In order to have 80% power to detect a difference of two clinic visits during the six</w:t>
      </w:r>
      <w:r>
        <w:rPr>
          <w:lang w:eastAsia="en-US"/>
        </w:rPr>
        <w:t xml:space="preserve"> </w:t>
      </w:r>
      <w:r w:rsidRPr="002055BD">
        <w:rPr>
          <w:lang w:eastAsia="en-US"/>
        </w:rPr>
        <w:t>week study period (</w:t>
      </w:r>
      <w:r>
        <w:rPr>
          <w:lang w:eastAsia="en-US"/>
        </w:rPr>
        <w:t>from an estimate of one visit in the control group to three visits in the intervention group)</w:t>
      </w:r>
      <w:r w:rsidRPr="002055BD">
        <w:rPr>
          <w:lang w:eastAsia="en-US"/>
        </w:rPr>
        <w:t xml:space="preserve"> with a two-sided alpha value of 5%, the estimated required sample size was 70. We aimed for a sample size of 90 to allow for </w:t>
      </w:r>
      <w:r>
        <w:rPr>
          <w:lang w:eastAsia="en-US"/>
        </w:rPr>
        <w:t>attrition</w:t>
      </w:r>
      <w:r w:rsidRPr="002055BD">
        <w:rPr>
          <w:lang w:eastAsia="en-US"/>
        </w:rPr>
        <w:t>. Our final sample size was 53.</w:t>
      </w:r>
    </w:p>
    <w:p w:rsidR="00BA6265" w:rsidRPr="002055BD" w:rsidRDefault="0025753C" w:rsidP="0025753C">
      <w:pPr>
        <w:pStyle w:val="Heading7"/>
      </w:pPr>
      <w:r>
        <w:t>1.6</w:t>
      </w:r>
      <w:r>
        <w:tab/>
      </w:r>
      <w:r w:rsidR="00BA6265" w:rsidRPr="00AD1565">
        <w:t xml:space="preserve">Randomisation: </w:t>
      </w:r>
      <w:r w:rsidR="00BA6265">
        <w:t>s</w:t>
      </w:r>
      <w:r w:rsidR="00BA6265" w:rsidRPr="00AD1565">
        <w:t xml:space="preserve">equence </w:t>
      </w:r>
      <w:r w:rsidR="00BA6265">
        <w:t>g</w:t>
      </w:r>
      <w:r w:rsidR="00BA6265" w:rsidRPr="00AD1565">
        <w:t xml:space="preserve">eneration and </w:t>
      </w:r>
      <w:bookmarkEnd w:id="7"/>
      <w:r w:rsidR="00BA6265">
        <w:t>a</w:t>
      </w:r>
      <w:r w:rsidR="00BA6265" w:rsidRPr="00AD1565">
        <w:t>llocation</w:t>
      </w:r>
    </w:p>
    <w:p w:rsidR="00BA6265" w:rsidRDefault="00BA6265" w:rsidP="006C0B32">
      <w:pPr>
        <w:rPr>
          <w:rStyle w:val="Heading2Char"/>
          <w:b w:val="0"/>
          <w:bCs w:val="0"/>
        </w:rPr>
      </w:pPr>
      <w:r w:rsidRPr="002055BD">
        <w:t xml:space="preserve">We used </w:t>
      </w:r>
      <w:proofErr w:type="spellStart"/>
      <w:r w:rsidRPr="002055BD">
        <w:t>Stata</w:t>
      </w:r>
      <w:proofErr w:type="spellEnd"/>
      <w:r w:rsidRPr="002055BD">
        <w:t xml:space="preserve"> Version 11.1</w:t>
      </w:r>
      <w:r>
        <w:t xml:space="preserve"> </w:t>
      </w:r>
      <w:r w:rsidRPr="002055BD">
        <w:t>for participant randomisation</w:t>
      </w:r>
      <w:proofErr w:type="gramStart"/>
      <w:r w:rsidRPr="002055BD">
        <w:t>.</w:t>
      </w:r>
      <w:r w:rsidRPr="00D61367">
        <w:rPr>
          <w:vertAlign w:val="superscript"/>
        </w:rPr>
        <w:t>(</w:t>
      </w:r>
      <w:proofErr w:type="gramEnd"/>
      <w:r w:rsidRPr="00D61367">
        <w:rPr>
          <w:vertAlign w:val="superscript"/>
        </w:rPr>
        <w:t>19)</w:t>
      </w:r>
      <w:r w:rsidRPr="002055BD">
        <w:t xml:space="preserve"> </w:t>
      </w:r>
      <w:r>
        <w:t>The randomisation sequence was stratified by a</w:t>
      </w:r>
      <w:r w:rsidRPr="002055BD">
        <w:t>ge and community, with a 1:1 allocation.</w:t>
      </w:r>
    </w:p>
    <w:p w:rsidR="00BA6265" w:rsidRDefault="00BA6265" w:rsidP="00017BB6">
      <w:pPr>
        <w:pStyle w:val="Heading7"/>
      </w:pPr>
      <w:r w:rsidRPr="00AD1565">
        <w:t xml:space="preserve">Outcome </w:t>
      </w:r>
      <w:r>
        <w:t>m</w:t>
      </w:r>
      <w:r w:rsidRPr="00AD1565">
        <w:t>easures</w:t>
      </w:r>
    </w:p>
    <w:p w:rsidR="00BA6265" w:rsidRDefault="00BA6265" w:rsidP="006C0B32">
      <w:r w:rsidRPr="002055BD">
        <w:t>The primary outcome of this study was measured as the number of clinic appointments attended, for any reason, during the six</w:t>
      </w:r>
      <w:r>
        <w:t xml:space="preserve"> </w:t>
      </w:r>
      <w:r w:rsidRPr="002055BD">
        <w:t>week intervention period by each child.</w:t>
      </w:r>
      <w:r>
        <w:t xml:space="preserve"> </w:t>
      </w:r>
      <w:r w:rsidRPr="002055BD">
        <w:t>At</w:t>
      </w:r>
      <w:r>
        <w:t>te</w:t>
      </w:r>
      <w:r w:rsidRPr="002055BD">
        <w:t xml:space="preserve">ndance was determined by accessing the community clinic’s electronic patient information system. </w:t>
      </w:r>
    </w:p>
    <w:p w:rsidR="00BA6265" w:rsidRDefault="00BA6265" w:rsidP="006C0B32"/>
    <w:p w:rsidR="00BA6265" w:rsidRDefault="00BA6265" w:rsidP="006C0B32">
      <w:r w:rsidRPr="002055BD">
        <w:t>The secondary outcomes were:</w:t>
      </w:r>
      <w:r>
        <w:t xml:space="preserve"> (i) ear health state (less ear </w:t>
      </w:r>
      <w:r w:rsidRPr="00895EB5">
        <w:t>discharge, reduced perforation size or healed tympanic membrane) assessed by trained ear research nurses using standardised data collection forms</w:t>
      </w:r>
      <w:r>
        <w:t>; and (ii) participant s</w:t>
      </w:r>
      <w:r w:rsidRPr="002055BD">
        <w:t xml:space="preserve">atisfaction with </w:t>
      </w:r>
      <w:r>
        <w:t>text messages and MMS</w:t>
      </w:r>
      <w:r w:rsidRPr="002055BD">
        <w:t>, assessed by face to face structured interviews using standardised questionnaires</w:t>
      </w:r>
      <w:r>
        <w:t>.</w:t>
      </w:r>
    </w:p>
    <w:p w:rsidR="00BA6265" w:rsidRDefault="00BA6265" w:rsidP="006C0B32"/>
    <w:p w:rsidR="00BA6265" w:rsidRDefault="00BA6265" w:rsidP="006C0B32">
      <w:r w:rsidRPr="002055BD">
        <w:t xml:space="preserve">The questionnaire </w:t>
      </w:r>
      <w:r>
        <w:t xml:space="preserve">at six weeks </w:t>
      </w:r>
      <w:r w:rsidRPr="002055BD">
        <w:t>included a mixture of dichotomous, open</w:t>
      </w:r>
      <w:r>
        <w:t xml:space="preserve"> </w:t>
      </w:r>
      <w:r w:rsidRPr="002055BD">
        <w:t xml:space="preserve">ended and multiple choice questions such as: “Did you see any phone messages from the </w:t>
      </w:r>
      <w:r>
        <w:t>Menzies Ear Health</w:t>
      </w:r>
      <w:r w:rsidRPr="002055BD">
        <w:t xml:space="preserve"> team?”; “Do you think our messages helped you remember to take </w:t>
      </w:r>
      <w:r>
        <w:t xml:space="preserve">(child’s name) </w:t>
      </w:r>
      <w:r w:rsidRPr="002055BD">
        <w:t xml:space="preserve">to the clinic for ear checks?”; </w:t>
      </w:r>
      <w:r>
        <w:t>“Which messages did you like?”; “Which messages did you not like?”; and</w:t>
      </w:r>
      <w:r w:rsidRPr="002055BD">
        <w:t xml:space="preserve"> “Would you be happy to receive other health</w:t>
      </w:r>
      <w:r>
        <w:t xml:space="preserve"> </w:t>
      </w:r>
      <w:r w:rsidRPr="002055BD">
        <w:t>related videos in the future?”</w:t>
      </w:r>
    </w:p>
    <w:p w:rsidR="00BA6265" w:rsidRPr="002055BD" w:rsidRDefault="0025753C" w:rsidP="0025753C">
      <w:pPr>
        <w:pStyle w:val="Heading7"/>
      </w:pPr>
      <w:r>
        <w:t>1.7</w:t>
      </w:r>
      <w:r>
        <w:tab/>
      </w:r>
      <w:r w:rsidR="00BA6265" w:rsidRPr="00AD1565">
        <w:t>Statistical methods</w:t>
      </w:r>
    </w:p>
    <w:p w:rsidR="00BA6265" w:rsidRDefault="00BA6265" w:rsidP="00660039">
      <w:pPr>
        <w:contextualSpacing/>
      </w:pPr>
      <w:r w:rsidRPr="002055BD">
        <w:t xml:space="preserve">We used </w:t>
      </w:r>
      <w:proofErr w:type="spellStart"/>
      <w:r w:rsidRPr="002055BD">
        <w:t>Stata</w:t>
      </w:r>
      <w:proofErr w:type="spellEnd"/>
      <w:r w:rsidRPr="002055BD">
        <w:t xml:space="preserve"> Version 11.1 for data analysis.</w:t>
      </w:r>
      <w:r w:rsidRPr="00D61367">
        <w:rPr>
          <w:vertAlign w:val="superscript"/>
        </w:rPr>
        <w:t>(19)</w:t>
      </w:r>
      <w:r w:rsidRPr="002055BD">
        <w:t xml:space="preserve"> The differences in attendance rates were </w:t>
      </w:r>
      <w:r>
        <w:t xml:space="preserve">estimated with 95% confidence intervals (CIs) </w:t>
      </w:r>
      <w:r w:rsidRPr="002055BD">
        <w:t xml:space="preserve">using </w:t>
      </w:r>
      <w:r>
        <w:t>the Student’s t test.  Differences in categorical outcomes were analysed using Fisher’s exact test.</w:t>
      </w:r>
      <w:r w:rsidRPr="002055BD">
        <w:t xml:space="preserve"> Where the 95% </w:t>
      </w:r>
      <w:r>
        <w:t xml:space="preserve">CI did not include an estimate of no effect, we assumed a statistically significant difference. </w:t>
      </w:r>
      <w:r w:rsidRPr="002055BD">
        <w:t xml:space="preserve">We analysed our </w:t>
      </w:r>
      <w:r>
        <w:t xml:space="preserve">data using </w:t>
      </w:r>
      <w:r w:rsidRPr="002055BD">
        <w:t>an intention</w:t>
      </w:r>
      <w:r>
        <w:t xml:space="preserve"> </w:t>
      </w:r>
      <w:r w:rsidRPr="002055BD">
        <w:t>to</w:t>
      </w:r>
      <w:r>
        <w:t xml:space="preserve"> </w:t>
      </w:r>
      <w:r w:rsidRPr="002055BD">
        <w:t>treat approach</w:t>
      </w:r>
      <w:r>
        <w:t xml:space="preserve"> (i.e. we included all the participants, irrespective of whether they attended the final assessment)</w:t>
      </w:r>
      <w:r w:rsidRPr="002055BD">
        <w:t>. We also conducted a per</w:t>
      </w:r>
      <w:r>
        <w:t xml:space="preserve"> </w:t>
      </w:r>
      <w:r w:rsidRPr="002055BD">
        <w:t>protocol analysis.</w:t>
      </w:r>
    </w:p>
    <w:p w:rsidR="00BA6265" w:rsidRDefault="00BA6265" w:rsidP="00FC18C9">
      <w:pPr>
        <w:pStyle w:val="Heading7"/>
        <w:numPr>
          <w:ilvl w:val="0"/>
          <w:numId w:val="17"/>
        </w:numPr>
      </w:pPr>
      <w:r w:rsidRPr="00AD1565">
        <w:t>RESULTS</w:t>
      </w:r>
    </w:p>
    <w:p w:rsidR="00BA6265" w:rsidRDefault="00BA6265" w:rsidP="00B25816">
      <w:pPr>
        <w:rPr>
          <w:b/>
        </w:rPr>
      </w:pPr>
      <w:r w:rsidRPr="002055BD">
        <w:t>We received signed informed consent for 181 children. Of these, 53 (30%) were eligible to be randomised (Figure 1).</w:t>
      </w:r>
      <w:r w:rsidR="00B25816">
        <w:rPr>
          <w:b/>
        </w:rPr>
        <w:t xml:space="preserve"> </w:t>
      </w:r>
    </w:p>
    <w:p w:rsidR="00BA6265" w:rsidRDefault="00BA6265" w:rsidP="009145C1">
      <w:r>
        <w:rPr>
          <w:b/>
        </w:rPr>
        <w:br w:type="page"/>
      </w:r>
      <w:r w:rsidRPr="00161D72">
        <w:rPr>
          <w:b/>
        </w:rPr>
        <w:lastRenderedPageBreak/>
        <w:t>Figure 1.</w:t>
      </w:r>
      <w:r w:rsidRPr="00161D72">
        <w:t xml:space="preserve"> Flow diagram detailing the structure of the research project, </w:t>
      </w:r>
      <w:r>
        <w:t>from</w:t>
      </w:r>
      <w:r w:rsidRPr="00161D72">
        <w:t xml:space="preserve"> enrolment</w:t>
      </w:r>
      <w:r>
        <w:t xml:space="preserve"> to </w:t>
      </w:r>
      <w:r w:rsidRPr="00161D72">
        <w:t>allocation, follow up and primary outcome analysis.</w:t>
      </w:r>
    </w:p>
    <w:p w:rsidR="00BA6265" w:rsidRPr="009145C1" w:rsidRDefault="00BA6265" w:rsidP="009145C1">
      <w:pPr>
        <w:rPr>
          <w:b/>
        </w:rPr>
      </w:pPr>
    </w:p>
    <w:p w:rsidR="00BA6265" w:rsidRDefault="00BA6265" w:rsidP="006C0B32"/>
    <w:p w:rsidR="00BA6265" w:rsidRDefault="00653C68" w:rsidP="006C0B32">
      <w:r>
        <w:rPr>
          <w:noProof/>
        </w:rPr>
        <w:drawing>
          <wp:inline distT="0" distB="0" distL="0" distR="0" wp14:anchorId="7AFCC302" wp14:editId="4DD229C6">
            <wp:extent cx="5372100" cy="6010275"/>
            <wp:effectExtent l="0" t="0" r="0" b="9525"/>
            <wp:docPr id="4" name="Picture 3" descr="Structure of project from enrolment to allocation, follow up and primary outcome analysis." title="Figure 1. Flow diagram detailing the structure of the research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l="14224" t="18919" r="56586" b="9453"/>
                    <a:stretch>
                      <a:fillRect/>
                    </a:stretch>
                  </pic:blipFill>
                  <pic:spPr bwMode="auto">
                    <a:xfrm>
                      <a:off x="0" y="0"/>
                      <a:ext cx="5372100" cy="6010275"/>
                    </a:xfrm>
                    <a:prstGeom prst="rect">
                      <a:avLst/>
                    </a:prstGeom>
                    <a:noFill/>
                    <a:ln w="9525">
                      <a:noFill/>
                      <a:miter lim="800000"/>
                      <a:headEnd/>
                      <a:tailEnd/>
                    </a:ln>
                  </pic:spPr>
                </pic:pic>
              </a:graphicData>
            </a:graphic>
          </wp:inline>
        </w:drawing>
      </w:r>
    </w:p>
    <w:p w:rsidR="00BA6265" w:rsidRDefault="00BA6265" w:rsidP="006C0B32"/>
    <w:p w:rsidR="00BA6265" w:rsidRDefault="00BA6265" w:rsidP="006C0B32">
      <w:r w:rsidRPr="002055BD">
        <w:t>The control group had 23 participants and the intervention group had 30. Clinic attendance was determined for all 53 children; 47 (89%) children had a follow up exam</w:t>
      </w:r>
      <w:r>
        <w:t>ination</w:t>
      </w:r>
      <w:r w:rsidRPr="002055BD">
        <w:t xml:space="preserve"> and questionnaire. At </w:t>
      </w:r>
      <w:r>
        <w:t>the start of the six week study</w:t>
      </w:r>
      <w:r w:rsidRPr="002055BD">
        <w:t xml:space="preserve">, participants were </w:t>
      </w:r>
      <w:r>
        <w:t>categorised</w:t>
      </w:r>
      <w:r w:rsidRPr="002055BD">
        <w:t xml:space="preserve"> according to their </w:t>
      </w:r>
      <w:r>
        <w:t>more severely affected ear</w:t>
      </w:r>
      <w:r w:rsidRPr="002055BD">
        <w:t xml:space="preserve"> (Table 1).</w:t>
      </w:r>
    </w:p>
    <w:p w:rsidR="00BA6265" w:rsidRDefault="00BA6265" w:rsidP="006C0B32"/>
    <w:p w:rsidR="00BA6265" w:rsidRDefault="00BA6265" w:rsidP="00B25816">
      <w:pPr>
        <w:rPr>
          <w:bCs/>
          <w:caps/>
        </w:rPr>
      </w:pPr>
      <w:r w:rsidRPr="00AD1565">
        <w:t xml:space="preserve">In the intervention group, 10 out of 30 respondents (33%) at the end of the study reported not seeing any of the messages. </w:t>
      </w:r>
      <w:r>
        <w:t>Of these, t</w:t>
      </w:r>
      <w:r w:rsidRPr="00AD1565">
        <w:t>wo had a phone that was broken, one phone number had been incorrectly transcribed, four did not see the messages because a relative had the phone, and one participant reported that the messages did not work. We received no explanation f</w:t>
      </w:r>
      <w:r>
        <w:t>rom the remaining two participants.</w:t>
      </w:r>
      <w:r>
        <w:rPr>
          <w:bCs/>
          <w:caps/>
        </w:rPr>
        <w:t xml:space="preserve"> </w:t>
      </w:r>
    </w:p>
    <w:p w:rsidR="00BA6265" w:rsidRPr="0065002D" w:rsidRDefault="00BA6265" w:rsidP="00660039">
      <w:pPr>
        <w:pStyle w:val="Caption"/>
        <w:spacing w:line="240" w:lineRule="auto"/>
        <w:contextualSpacing/>
        <w:rPr>
          <w:rFonts w:ascii="Times New Roman" w:hAnsi="Times New Roman"/>
          <w:b w:val="0"/>
          <w:bCs w:val="0"/>
          <w:caps w:val="0"/>
          <w:sz w:val="24"/>
          <w:szCs w:val="24"/>
          <w:lang w:val="en-AU"/>
        </w:rPr>
      </w:pPr>
      <w:r>
        <w:rPr>
          <w:rFonts w:ascii="Times New Roman" w:hAnsi="Times New Roman"/>
          <w:bCs w:val="0"/>
          <w:caps w:val="0"/>
          <w:sz w:val="24"/>
          <w:szCs w:val="24"/>
          <w:lang w:val="en-AU" w:eastAsia="en-AU"/>
        </w:rPr>
        <w:br w:type="page"/>
      </w:r>
      <w:proofErr w:type="gramStart"/>
      <w:r w:rsidRPr="0065002D">
        <w:rPr>
          <w:rFonts w:ascii="Times New Roman" w:hAnsi="Times New Roman"/>
          <w:bCs w:val="0"/>
          <w:caps w:val="0"/>
          <w:sz w:val="24"/>
          <w:szCs w:val="24"/>
          <w:lang w:val="en-AU" w:eastAsia="en-AU"/>
        </w:rPr>
        <w:lastRenderedPageBreak/>
        <w:t>Table 1</w:t>
      </w:r>
      <w:r>
        <w:rPr>
          <w:rFonts w:ascii="Times New Roman" w:hAnsi="Times New Roman"/>
          <w:sz w:val="24"/>
          <w:szCs w:val="24"/>
        </w:rPr>
        <w:t>.</w:t>
      </w:r>
      <w:proofErr w:type="gramEnd"/>
      <w:r w:rsidRPr="002055BD">
        <w:rPr>
          <w:rFonts w:ascii="Times New Roman" w:hAnsi="Times New Roman"/>
          <w:sz w:val="24"/>
          <w:szCs w:val="24"/>
        </w:rPr>
        <w:t xml:space="preserve"> </w:t>
      </w:r>
      <w:r>
        <w:rPr>
          <w:rFonts w:ascii="Times New Roman" w:hAnsi="Times New Roman"/>
          <w:b w:val="0"/>
          <w:bCs w:val="0"/>
          <w:caps w:val="0"/>
          <w:sz w:val="24"/>
          <w:szCs w:val="24"/>
          <w:lang w:val="en-AU"/>
        </w:rPr>
        <w:t xml:space="preserve">Baseline diagnoses by worse ear </w:t>
      </w:r>
      <w:r w:rsidRPr="0065002D">
        <w:rPr>
          <w:rFonts w:ascii="Times New Roman" w:hAnsi="Times New Roman"/>
          <w:b w:val="0"/>
          <w:bCs w:val="0"/>
          <w:caps w:val="0"/>
          <w:sz w:val="24"/>
          <w:szCs w:val="24"/>
          <w:lang w:val="en-AU"/>
        </w:rPr>
        <w:t>for all children enrolled in the study (n=53).</w:t>
      </w:r>
    </w:p>
    <w:tbl>
      <w:tblPr>
        <w:tblW w:w="9209" w:type="dxa"/>
        <w:tblInd w:w="397" w:type="dxa"/>
        <w:tblBorders>
          <w:top w:val="single" w:sz="12" w:space="0" w:color="auto"/>
          <w:bottom w:val="single" w:sz="12" w:space="0" w:color="auto"/>
        </w:tblBorders>
        <w:tblLayout w:type="fixed"/>
        <w:tblLook w:val="0060" w:firstRow="1" w:lastRow="1" w:firstColumn="0" w:lastColumn="0" w:noHBand="0" w:noVBand="0"/>
      </w:tblPr>
      <w:tblGrid>
        <w:gridCol w:w="3255"/>
        <w:gridCol w:w="921"/>
        <w:gridCol w:w="922"/>
        <w:gridCol w:w="1063"/>
        <w:gridCol w:w="1063"/>
        <w:gridCol w:w="992"/>
        <w:gridCol w:w="993"/>
      </w:tblGrid>
      <w:tr w:rsidR="00BA6265" w:rsidRPr="00EF51FB" w:rsidTr="00DC53ED">
        <w:trPr>
          <w:trHeight w:val="282"/>
        </w:trPr>
        <w:tc>
          <w:tcPr>
            <w:tcW w:w="3255" w:type="dxa"/>
            <w:tcBorders>
              <w:top w:val="single" w:sz="12" w:space="0" w:color="auto"/>
              <w:bottom w:val="single" w:sz="6" w:space="0" w:color="auto"/>
            </w:tcBorders>
            <w:noWrap/>
          </w:tcPr>
          <w:p w:rsidR="00BA6265" w:rsidRPr="00EF51FB" w:rsidRDefault="00BA6265" w:rsidP="00660039">
            <w:pPr>
              <w:contextualSpacing/>
              <w:rPr>
                <w:b/>
                <w:bCs/>
                <w:color w:val="365F91"/>
              </w:rPr>
            </w:pPr>
          </w:p>
        </w:tc>
        <w:tc>
          <w:tcPr>
            <w:tcW w:w="1843" w:type="dxa"/>
            <w:gridSpan w:val="2"/>
            <w:tcBorders>
              <w:top w:val="single" w:sz="12" w:space="0" w:color="auto"/>
              <w:bottom w:val="single" w:sz="6" w:space="0" w:color="auto"/>
            </w:tcBorders>
            <w:noWrap/>
          </w:tcPr>
          <w:p w:rsidR="00BA6265" w:rsidRPr="00EF51FB" w:rsidRDefault="00BA6265" w:rsidP="000262A7">
            <w:pPr>
              <w:contextualSpacing/>
              <w:jc w:val="center"/>
              <w:rPr>
                <w:b/>
              </w:rPr>
            </w:pPr>
            <w:r w:rsidRPr="00EF51FB">
              <w:rPr>
                <w:b/>
              </w:rPr>
              <w:t>Control group</w:t>
            </w:r>
          </w:p>
        </w:tc>
        <w:tc>
          <w:tcPr>
            <w:tcW w:w="2126" w:type="dxa"/>
            <w:gridSpan w:val="2"/>
            <w:tcBorders>
              <w:top w:val="single" w:sz="12" w:space="0" w:color="auto"/>
              <w:bottom w:val="single" w:sz="6" w:space="0" w:color="auto"/>
            </w:tcBorders>
          </w:tcPr>
          <w:p w:rsidR="00BA6265" w:rsidRPr="00EF51FB" w:rsidRDefault="00BA6265" w:rsidP="000262A7">
            <w:pPr>
              <w:contextualSpacing/>
              <w:jc w:val="center"/>
              <w:rPr>
                <w:b/>
              </w:rPr>
            </w:pPr>
            <w:r w:rsidRPr="00EF51FB">
              <w:rPr>
                <w:b/>
              </w:rPr>
              <w:t>Intervention group</w:t>
            </w:r>
          </w:p>
        </w:tc>
        <w:tc>
          <w:tcPr>
            <w:tcW w:w="1985" w:type="dxa"/>
            <w:gridSpan w:val="2"/>
            <w:tcBorders>
              <w:top w:val="single" w:sz="12" w:space="0" w:color="auto"/>
              <w:bottom w:val="single" w:sz="6" w:space="0" w:color="auto"/>
            </w:tcBorders>
            <w:noWrap/>
          </w:tcPr>
          <w:p w:rsidR="00BA6265" w:rsidRPr="00EF51FB" w:rsidRDefault="00BA6265" w:rsidP="000262A7">
            <w:pPr>
              <w:contextualSpacing/>
              <w:jc w:val="center"/>
              <w:rPr>
                <w:b/>
              </w:rPr>
            </w:pPr>
            <w:r w:rsidRPr="00EF51FB">
              <w:rPr>
                <w:b/>
              </w:rPr>
              <w:t>Totals</w:t>
            </w:r>
          </w:p>
        </w:tc>
      </w:tr>
      <w:tr w:rsidR="00BA6265" w:rsidRPr="00EF51FB" w:rsidTr="00DC53ED">
        <w:trPr>
          <w:trHeight w:val="387"/>
        </w:trPr>
        <w:tc>
          <w:tcPr>
            <w:tcW w:w="3255" w:type="dxa"/>
            <w:tcBorders>
              <w:top w:val="single" w:sz="6" w:space="0" w:color="auto"/>
              <w:bottom w:val="single" w:sz="12" w:space="0" w:color="auto"/>
            </w:tcBorders>
            <w:noWrap/>
          </w:tcPr>
          <w:p w:rsidR="00BA6265" w:rsidRPr="00EF51FB" w:rsidRDefault="00BA6265" w:rsidP="00660039">
            <w:pPr>
              <w:contextualSpacing/>
            </w:pPr>
          </w:p>
        </w:tc>
        <w:tc>
          <w:tcPr>
            <w:tcW w:w="921" w:type="dxa"/>
            <w:tcBorders>
              <w:top w:val="single" w:sz="6" w:space="0" w:color="auto"/>
              <w:bottom w:val="single" w:sz="12" w:space="0" w:color="auto"/>
            </w:tcBorders>
            <w:noWrap/>
          </w:tcPr>
          <w:p w:rsidR="00BA6265" w:rsidRPr="00EF51FB" w:rsidRDefault="00BA6265" w:rsidP="000262A7">
            <w:pPr>
              <w:contextualSpacing/>
              <w:jc w:val="center"/>
            </w:pPr>
            <w:r w:rsidRPr="00EF51FB">
              <w:t>No.</w:t>
            </w:r>
          </w:p>
        </w:tc>
        <w:tc>
          <w:tcPr>
            <w:tcW w:w="922" w:type="dxa"/>
            <w:tcBorders>
              <w:top w:val="single" w:sz="6" w:space="0" w:color="auto"/>
              <w:bottom w:val="single" w:sz="12" w:space="0" w:color="auto"/>
            </w:tcBorders>
          </w:tcPr>
          <w:p w:rsidR="00BA6265" w:rsidRPr="00EF51FB" w:rsidRDefault="00BA6265" w:rsidP="000262A7">
            <w:pPr>
              <w:contextualSpacing/>
              <w:jc w:val="center"/>
            </w:pPr>
            <w:r w:rsidRPr="00EF51FB">
              <w:t>%</w:t>
            </w:r>
          </w:p>
        </w:tc>
        <w:tc>
          <w:tcPr>
            <w:tcW w:w="1063" w:type="dxa"/>
            <w:tcBorders>
              <w:top w:val="single" w:sz="6" w:space="0" w:color="auto"/>
              <w:bottom w:val="single" w:sz="12" w:space="0" w:color="auto"/>
            </w:tcBorders>
          </w:tcPr>
          <w:p w:rsidR="00BA6265" w:rsidRPr="00EF51FB" w:rsidRDefault="00BA6265" w:rsidP="000262A7">
            <w:pPr>
              <w:contextualSpacing/>
              <w:jc w:val="center"/>
            </w:pPr>
            <w:r w:rsidRPr="00EF51FB">
              <w:t>No.</w:t>
            </w:r>
          </w:p>
        </w:tc>
        <w:tc>
          <w:tcPr>
            <w:tcW w:w="1063" w:type="dxa"/>
            <w:tcBorders>
              <w:top w:val="single" w:sz="6" w:space="0" w:color="auto"/>
              <w:bottom w:val="single" w:sz="12" w:space="0" w:color="auto"/>
            </w:tcBorders>
          </w:tcPr>
          <w:p w:rsidR="00BA6265" w:rsidRPr="00EF51FB" w:rsidRDefault="00BA6265" w:rsidP="000262A7">
            <w:pPr>
              <w:contextualSpacing/>
              <w:jc w:val="center"/>
            </w:pPr>
            <w:r w:rsidRPr="00EF51FB">
              <w:t>%</w:t>
            </w:r>
          </w:p>
        </w:tc>
        <w:tc>
          <w:tcPr>
            <w:tcW w:w="992" w:type="dxa"/>
            <w:tcBorders>
              <w:top w:val="single" w:sz="6" w:space="0" w:color="auto"/>
              <w:bottom w:val="single" w:sz="12" w:space="0" w:color="auto"/>
            </w:tcBorders>
            <w:noWrap/>
          </w:tcPr>
          <w:p w:rsidR="00BA6265" w:rsidRPr="00EF51FB" w:rsidRDefault="00BA6265" w:rsidP="000262A7">
            <w:pPr>
              <w:contextualSpacing/>
              <w:jc w:val="center"/>
            </w:pPr>
            <w:r w:rsidRPr="00EF51FB">
              <w:t>No.</w:t>
            </w:r>
          </w:p>
        </w:tc>
        <w:tc>
          <w:tcPr>
            <w:tcW w:w="993" w:type="dxa"/>
            <w:tcBorders>
              <w:top w:val="single" w:sz="6" w:space="0" w:color="auto"/>
              <w:bottom w:val="single" w:sz="12" w:space="0" w:color="auto"/>
            </w:tcBorders>
          </w:tcPr>
          <w:p w:rsidR="00BA6265" w:rsidRPr="00EF51FB" w:rsidRDefault="00BA6265" w:rsidP="000262A7">
            <w:pPr>
              <w:contextualSpacing/>
              <w:jc w:val="center"/>
            </w:pPr>
            <w:r w:rsidRPr="00EF51FB">
              <w:t>%</w:t>
            </w:r>
          </w:p>
        </w:tc>
      </w:tr>
      <w:tr w:rsidR="00BA6265" w:rsidRPr="00EF51FB" w:rsidTr="00DC53ED">
        <w:trPr>
          <w:trHeight w:val="601"/>
        </w:trPr>
        <w:tc>
          <w:tcPr>
            <w:tcW w:w="3255" w:type="dxa"/>
            <w:tcBorders>
              <w:top w:val="single" w:sz="12" w:space="0" w:color="auto"/>
            </w:tcBorders>
            <w:noWrap/>
          </w:tcPr>
          <w:p w:rsidR="00BA6265" w:rsidRPr="00EF51FB" w:rsidRDefault="00BA6265" w:rsidP="00660039">
            <w:pPr>
              <w:contextualSpacing/>
            </w:pPr>
            <w:proofErr w:type="spellStart"/>
            <w:r w:rsidRPr="00EF51FB">
              <w:t>AOMwiP</w:t>
            </w:r>
            <w:proofErr w:type="spellEnd"/>
            <w:r w:rsidRPr="00EF51FB">
              <w:rPr>
                <w:rStyle w:val="FootnoteReference"/>
              </w:rPr>
              <w:footnoteReference w:id="4"/>
            </w:r>
          </w:p>
        </w:tc>
        <w:tc>
          <w:tcPr>
            <w:tcW w:w="921" w:type="dxa"/>
            <w:tcBorders>
              <w:top w:val="single" w:sz="12" w:space="0" w:color="auto"/>
            </w:tcBorders>
            <w:noWrap/>
          </w:tcPr>
          <w:p w:rsidR="00BA6265" w:rsidRPr="00EF51FB" w:rsidRDefault="00BA6265" w:rsidP="000262A7">
            <w:pPr>
              <w:contextualSpacing/>
              <w:jc w:val="center"/>
            </w:pPr>
            <w:r w:rsidRPr="00EF51FB">
              <w:t>1</w:t>
            </w:r>
          </w:p>
        </w:tc>
        <w:tc>
          <w:tcPr>
            <w:tcW w:w="922" w:type="dxa"/>
            <w:tcBorders>
              <w:top w:val="single" w:sz="12" w:space="0" w:color="auto"/>
            </w:tcBorders>
          </w:tcPr>
          <w:p w:rsidR="00BA6265" w:rsidRPr="00EF51FB" w:rsidRDefault="00BA6265" w:rsidP="000262A7">
            <w:pPr>
              <w:contextualSpacing/>
              <w:jc w:val="center"/>
            </w:pPr>
            <w:r w:rsidRPr="00EF51FB">
              <w:t>4</w:t>
            </w:r>
          </w:p>
        </w:tc>
        <w:tc>
          <w:tcPr>
            <w:tcW w:w="1063" w:type="dxa"/>
            <w:tcBorders>
              <w:top w:val="single" w:sz="12" w:space="0" w:color="auto"/>
            </w:tcBorders>
          </w:tcPr>
          <w:p w:rsidR="00BA6265" w:rsidRPr="00EF51FB" w:rsidRDefault="00BA6265" w:rsidP="000262A7">
            <w:pPr>
              <w:contextualSpacing/>
              <w:jc w:val="center"/>
            </w:pPr>
            <w:r w:rsidRPr="00EF51FB">
              <w:t>1</w:t>
            </w:r>
          </w:p>
        </w:tc>
        <w:tc>
          <w:tcPr>
            <w:tcW w:w="1063" w:type="dxa"/>
            <w:tcBorders>
              <w:top w:val="single" w:sz="12" w:space="0" w:color="auto"/>
            </w:tcBorders>
          </w:tcPr>
          <w:p w:rsidR="00BA6265" w:rsidRPr="00EF51FB" w:rsidRDefault="00BA6265" w:rsidP="000262A7">
            <w:pPr>
              <w:contextualSpacing/>
              <w:jc w:val="center"/>
            </w:pPr>
            <w:r w:rsidRPr="00EF51FB">
              <w:t>3</w:t>
            </w:r>
          </w:p>
        </w:tc>
        <w:tc>
          <w:tcPr>
            <w:tcW w:w="992" w:type="dxa"/>
            <w:tcBorders>
              <w:top w:val="single" w:sz="12" w:space="0" w:color="auto"/>
            </w:tcBorders>
            <w:noWrap/>
          </w:tcPr>
          <w:p w:rsidR="00BA6265" w:rsidRPr="00EF51FB" w:rsidRDefault="00BA6265" w:rsidP="000262A7">
            <w:pPr>
              <w:contextualSpacing/>
              <w:jc w:val="center"/>
            </w:pPr>
            <w:r w:rsidRPr="00EF51FB">
              <w:t>2</w:t>
            </w:r>
          </w:p>
        </w:tc>
        <w:tc>
          <w:tcPr>
            <w:tcW w:w="993" w:type="dxa"/>
            <w:tcBorders>
              <w:top w:val="single" w:sz="12" w:space="0" w:color="auto"/>
            </w:tcBorders>
          </w:tcPr>
          <w:p w:rsidR="00BA6265" w:rsidRPr="00EF51FB" w:rsidRDefault="00BA6265" w:rsidP="000262A7">
            <w:pPr>
              <w:contextualSpacing/>
              <w:jc w:val="center"/>
            </w:pPr>
            <w:r w:rsidRPr="00EF51FB">
              <w:t>4</w:t>
            </w:r>
          </w:p>
        </w:tc>
      </w:tr>
      <w:tr w:rsidR="00BA6265" w:rsidRPr="00EF51FB" w:rsidTr="00DC53ED">
        <w:trPr>
          <w:trHeight w:val="601"/>
        </w:trPr>
        <w:tc>
          <w:tcPr>
            <w:tcW w:w="3255" w:type="dxa"/>
            <w:noWrap/>
          </w:tcPr>
          <w:p w:rsidR="00BA6265" w:rsidRPr="00EF51FB" w:rsidRDefault="00BA6265" w:rsidP="00660039">
            <w:pPr>
              <w:contextualSpacing/>
            </w:pPr>
            <w:r w:rsidRPr="00EF51FB">
              <w:t>D</w:t>
            </w:r>
            <w:r>
              <w:t>ry perforation</w:t>
            </w:r>
          </w:p>
        </w:tc>
        <w:tc>
          <w:tcPr>
            <w:tcW w:w="921" w:type="dxa"/>
            <w:noWrap/>
          </w:tcPr>
          <w:p w:rsidR="00BA6265" w:rsidRPr="00EF51FB" w:rsidRDefault="00BA6265" w:rsidP="000262A7">
            <w:pPr>
              <w:contextualSpacing/>
              <w:jc w:val="center"/>
            </w:pPr>
            <w:r w:rsidRPr="00EF51FB">
              <w:t>2</w:t>
            </w:r>
          </w:p>
        </w:tc>
        <w:tc>
          <w:tcPr>
            <w:tcW w:w="922" w:type="dxa"/>
          </w:tcPr>
          <w:p w:rsidR="00BA6265" w:rsidRPr="00EF51FB" w:rsidRDefault="00BA6265" w:rsidP="000262A7">
            <w:pPr>
              <w:contextualSpacing/>
              <w:jc w:val="center"/>
            </w:pPr>
            <w:r w:rsidRPr="00EF51FB">
              <w:t>9</w:t>
            </w:r>
          </w:p>
        </w:tc>
        <w:tc>
          <w:tcPr>
            <w:tcW w:w="1063" w:type="dxa"/>
          </w:tcPr>
          <w:p w:rsidR="00BA6265" w:rsidRPr="00EF51FB" w:rsidRDefault="00BA6265" w:rsidP="000262A7">
            <w:pPr>
              <w:contextualSpacing/>
              <w:jc w:val="center"/>
            </w:pPr>
            <w:r w:rsidRPr="00EF51FB">
              <w:t>7</w:t>
            </w:r>
          </w:p>
        </w:tc>
        <w:tc>
          <w:tcPr>
            <w:tcW w:w="1063" w:type="dxa"/>
          </w:tcPr>
          <w:p w:rsidR="00BA6265" w:rsidRPr="00EF51FB" w:rsidRDefault="00BA6265" w:rsidP="000262A7">
            <w:pPr>
              <w:contextualSpacing/>
              <w:jc w:val="center"/>
            </w:pPr>
            <w:r w:rsidRPr="00EF51FB">
              <w:t>24</w:t>
            </w:r>
          </w:p>
        </w:tc>
        <w:tc>
          <w:tcPr>
            <w:tcW w:w="992" w:type="dxa"/>
            <w:noWrap/>
          </w:tcPr>
          <w:p w:rsidR="00BA6265" w:rsidRPr="00EF51FB" w:rsidRDefault="00BA6265" w:rsidP="000262A7">
            <w:pPr>
              <w:contextualSpacing/>
              <w:jc w:val="center"/>
            </w:pPr>
            <w:r w:rsidRPr="00EF51FB">
              <w:t>9</w:t>
            </w:r>
          </w:p>
        </w:tc>
        <w:tc>
          <w:tcPr>
            <w:tcW w:w="993" w:type="dxa"/>
          </w:tcPr>
          <w:p w:rsidR="00BA6265" w:rsidRPr="00EF51FB" w:rsidRDefault="00BA6265" w:rsidP="000262A7">
            <w:pPr>
              <w:contextualSpacing/>
              <w:jc w:val="center"/>
            </w:pPr>
            <w:r w:rsidRPr="00EF51FB">
              <w:t>17</w:t>
            </w:r>
          </w:p>
        </w:tc>
      </w:tr>
      <w:tr w:rsidR="00BA6265" w:rsidRPr="00EF51FB" w:rsidTr="00DC53ED">
        <w:trPr>
          <w:trHeight w:val="601"/>
        </w:trPr>
        <w:tc>
          <w:tcPr>
            <w:tcW w:w="3255" w:type="dxa"/>
            <w:tcBorders>
              <w:bottom w:val="single" w:sz="12" w:space="0" w:color="auto"/>
            </w:tcBorders>
            <w:noWrap/>
          </w:tcPr>
          <w:p w:rsidR="00BA6265" w:rsidRPr="00EF51FB" w:rsidRDefault="00BA6265" w:rsidP="00660039">
            <w:pPr>
              <w:contextualSpacing/>
            </w:pPr>
            <w:r w:rsidRPr="00EF51FB">
              <w:t>CSOM</w:t>
            </w:r>
            <w:r w:rsidRPr="00EF51FB">
              <w:rPr>
                <w:rStyle w:val="FootnoteReference"/>
              </w:rPr>
              <w:footnoteReference w:id="5"/>
            </w:r>
          </w:p>
        </w:tc>
        <w:tc>
          <w:tcPr>
            <w:tcW w:w="921" w:type="dxa"/>
            <w:tcBorders>
              <w:bottom w:val="single" w:sz="12" w:space="0" w:color="auto"/>
            </w:tcBorders>
            <w:noWrap/>
          </w:tcPr>
          <w:p w:rsidR="00BA6265" w:rsidRPr="00EF51FB" w:rsidRDefault="00BA6265" w:rsidP="000262A7">
            <w:pPr>
              <w:contextualSpacing/>
              <w:jc w:val="center"/>
            </w:pPr>
            <w:r w:rsidRPr="00EF51FB">
              <w:t>20</w:t>
            </w:r>
          </w:p>
        </w:tc>
        <w:tc>
          <w:tcPr>
            <w:tcW w:w="922" w:type="dxa"/>
            <w:tcBorders>
              <w:bottom w:val="single" w:sz="12" w:space="0" w:color="auto"/>
            </w:tcBorders>
          </w:tcPr>
          <w:p w:rsidR="00BA6265" w:rsidRPr="00EF51FB" w:rsidRDefault="00BA6265" w:rsidP="000262A7">
            <w:pPr>
              <w:contextualSpacing/>
              <w:jc w:val="center"/>
            </w:pPr>
            <w:r w:rsidRPr="00EF51FB">
              <w:t>87</w:t>
            </w:r>
          </w:p>
        </w:tc>
        <w:tc>
          <w:tcPr>
            <w:tcW w:w="1063" w:type="dxa"/>
            <w:tcBorders>
              <w:bottom w:val="single" w:sz="12" w:space="0" w:color="auto"/>
            </w:tcBorders>
          </w:tcPr>
          <w:p w:rsidR="00BA6265" w:rsidRPr="00EF51FB" w:rsidRDefault="00BA6265" w:rsidP="000262A7">
            <w:pPr>
              <w:contextualSpacing/>
              <w:jc w:val="center"/>
            </w:pPr>
            <w:r w:rsidRPr="00EF51FB">
              <w:t>22</w:t>
            </w:r>
          </w:p>
        </w:tc>
        <w:tc>
          <w:tcPr>
            <w:tcW w:w="1063" w:type="dxa"/>
            <w:tcBorders>
              <w:bottom w:val="single" w:sz="12" w:space="0" w:color="auto"/>
            </w:tcBorders>
          </w:tcPr>
          <w:p w:rsidR="00BA6265" w:rsidRPr="00EF51FB" w:rsidRDefault="00BA6265" w:rsidP="000262A7">
            <w:pPr>
              <w:contextualSpacing/>
              <w:jc w:val="center"/>
            </w:pPr>
            <w:r w:rsidRPr="00EF51FB">
              <w:t>73</w:t>
            </w:r>
          </w:p>
        </w:tc>
        <w:tc>
          <w:tcPr>
            <w:tcW w:w="992" w:type="dxa"/>
            <w:tcBorders>
              <w:bottom w:val="single" w:sz="12" w:space="0" w:color="auto"/>
            </w:tcBorders>
            <w:noWrap/>
          </w:tcPr>
          <w:p w:rsidR="00BA6265" w:rsidRPr="00EF51FB" w:rsidRDefault="00BA6265" w:rsidP="000262A7">
            <w:pPr>
              <w:contextualSpacing/>
              <w:jc w:val="center"/>
            </w:pPr>
            <w:r w:rsidRPr="00EF51FB">
              <w:t>42</w:t>
            </w:r>
          </w:p>
        </w:tc>
        <w:tc>
          <w:tcPr>
            <w:tcW w:w="993" w:type="dxa"/>
            <w:tcBorders>
              <w:bottom w:val="single" w:sz="12" w:space="0" w:color="auto"/>
            </w:tcBorders>
          </w:tcPr>
          <w:p w:rsidR="00BA6265" w:rsidRPr="00EF51FB" w:rsidRDefault="00BA6265" w:rsidP="000262A7">
            <w:pPr>
              <w:contextualSpacing/>
              <w:jc w:val="center"/>
            </w:pPr>
            <w:r w:rsidRPr="00EF51FB">
              <w:t>79</w:t>
            </w:r>
          </w:p>
        </w:tc>
      </w:tr>
      <w:tr w:rsidR="00BA6265" w:rsidRPr="00EF51FB" w:rsidTr="00DC53ED">
        <w:trPr>
          <w:trHeight w:val="282"/>
        </w:trPr>
        <w:tc>
          <w:tcPr>
            <w:tcW w:w="3255" w:type="dxa"/>
            <w:tcBorders>
              <w:top w:val="single" w:sz="12" w:space="0" w:color="auto"/>
              <w:bottom w:val="single" w:sz="12" w:space="0" w:color="auto"/>
            </w:tcBorders>
            <w:noWrap/>
          </w:tcPr>
          <w:p w:rsidR="00BA6265" w:rsidRPr="00EF51FB" w:rsidRDefault="00BA6265" w:rsidP="00660039">
            <w:pPr>
              <w:contextualSpacing/>
              <w:rPr>
                <w:b/>
              </w:rPr>
            </w:pPr>
            <w:r w:rsidRPr="00EF51FB">
              <w:rPr>
                <w:b/>
              </w:rPr>
              <w:t>Totals</w:t>
            </w:r>
          </w:p>
        </w:tc>
        <w:tc>
          <w:tcPr>
            <w:tcW w:w="921" w:type="dxa"/>
            <w:tcBorders>
              <w:top w:val="single" w:sz="12" w:space="0" w:color="auto"/>
              <w:bottom w:val="single" w:sz="12" w:space="0" w:color="auto"/>
            </w:tcBorders>
            <w:noWrap/>
          </w:tcPr>
          <w:p w:rsidR="00BA6265" w:rsidRPr="00EF51FB" w:rsidRDefault="00BA6265" w:rsidP="000262A7">
            <w:pPr>
              <w:contextualSpacing/>
              <w:jc w:val="center"/>
            </w:pPr>
            <w:r w:rsidRPr="00EF51FB">
              <w:t>23</w:t>
            </w:r>
          </w:p>
        </w:tc>
        <w:tc>
          <w:tcPr>
            <w:tcW w:w="922" w:type="dxa"/>
            <w:tcBorders>
              <w:top w:val="single" w:sz="12" w:space="0" w:color="auto"/>
              <w:bottom w:val="single" w:sz="12" w:space="0" w:color="auto"/>
            </w:tcBorders>
          </w:tcPr>
          <w:p w:rsidR="00BA6265" w:rsidRPr="00EF51FB" w:rsidRDefault="00BA6265" w:rsidP="000262A7">
            <w:pPr>
              <w:contextualSpacing/>
              <w:jc w:val="center"/>
            </w:pPr>
            <w:r w:rsidRPr="00EF51FB">
              <w:t>100</w:t>
            </w:r>
          </w:p>
        </w:tc>
        <w:tc>
          <w:tcPr>
            <w:tcW w:w="1063" w:type="dxa"/>
            <w:tcBorders>
              <w:top w:val="single" w:sz="12" w:space="0" w:color="auto"/>
              <w:bottom w:val="single" w:sz="12" w:space="0" w:color="auto"/>
            </w:tcBorders>
          </w:tcPr>
          <w:p w:rsidR="00BA6265" w:rsidRPr="00EF51FB" w:rsidRDefault="00BA6265" w:rsidP="000262A7">
            <w:pPr>
              <w:contextualSpacing/>
              <w:jc w:val="center"/>
            </w:pPr>
            <w:r w:rsidRPr="00EF51FB">
              <w:t>30</w:t>
            </w:r>
          </w:p>
        </w:tc>
        <w:tc>
          <w:tcPr>
            <w:tcW w:w="1063" w:type="dxa"/>
            <w:tcBorders>
              <w:top w:val="single" w:sz="12" w:space="0" w:color="auto"/>
              <w:bottom w:val="single" w:sz="12" w:space="0" w:color="auto"/>
            </w:tcBorders>
          </w:tcPr>
          <w:p w:rsidR="00BA6265" w:rsidRPr="00EF51FB" w:rsidRDefault="00BA6265" w:rsidP="000262A7">
            <w:pPr>
              <w:contextualSpacing/>
              <w:jc w:val="center"/>
            </w:pPr>
            <w:r w:rsidRPr="00EF51FB">
              <w:t>100</w:t>
            </w:r>
          </w:p>
        </w:tc>
        <w:tc>
          <w:tcPr>
            <w:tcW w:w="992" w:type="dxa"/>
            <w:tcBorders>
              <w:top w:val="single" w:sz="12" w:space="0" w:color="auto"/>
              <w:bottom w:val="single" w:sz="12" w:space="0" w:color="auto"/>
            </w:tcBorders>
            <w:noWrap/>
          </w:tcPr>
          <w:p w:rsidR="00BA6265" w:rsidRPr="00EF51FB" w:rsidRDefault="00BA6265" w:rsidP="000262A7">
            <w:pPr>
              <w:contextualSpacing/>
              <w:jc w:val="center"/>
            </w:pPr>
            <w:r w:rsidRPr="00EF51FB">
              <w:t>53</w:t>
            </w:r>
          </w:p>
        </w:tc>
        <w:tc>
          <w:tcPr>
            <w:tcW w:w="993" w:type="dxa"/>
            <w:tcBorders>
              <w:top w:val="single" w:sz="12" w:space="0" w:color="auto"/>
              <w:bottom w:val="single" w:sz="12" w:space="0" w:color="auto"/>
            </w:tcBorders>
          </w:tcPr>
          <w:p w:rsidR="00BA6265" w:rsidRPr="00EF51FB" w:rsidRDefault="00BA6265" w:rsidP="000262A7">
            <w:pPr>
              <w:contextualSpacing/>
              <w:jc w:val="center"/>
            </w:pPr>
            <w:r w:rsidRPr="00EF51FB">
              <w:t>100</w:t>
            </w:r>
          </w:p>
        </w:tc>
      </w:tr>
    </w:tbl>
    <w:p w:rsidR="00BA6265" w:rsidRDefault="00BA6265" w:rsidP="006C0B32">
      <w:r w:rsidRPr="002055BD">
        <w:tab/>
      </w:r>
    </w:p>
    <w:p w:rsidR="00BA6265" w:rsidRDefault="00BA6265" w:rsidP="006C0B32">
      <w:pPr>
        <w:rPr>
          <w:highlight w:val="yellow"/>
        </w:rPr>
      </w:pPr>
    </w:p>
    <w:p w:rsidR="00BA6265" w:rsidRDefault="00BA6265" w:rsidP="006C0B32">
      <w:r w:rsidRPr="00AD1565">
        <w:t>Of the 28 primary carer respondents</w:t>
      </w:r>
      <w:r>
        <w:t xml:space="preserve"> who owned the phone</w:t>
      </w:r>
      <w:r w:rsidRPr="00AD1565">
        <w:t xml:space="preserve"> (mostly</w:t>
      </w:r>
      <w:r>
        <w:t xml:space="preserve"> the</w:t>
      </w:r>
      <w:r w:rsidRPr="00AD1565">
        <w:t xml:space="preserve"> child’s mother or grandmother), 8 (29%) reported that they did not see any of the messages. Of the 11 primary carer respondents who did not own the phone (</w:t>
      </w:r>
      <w:r>
        <w:t xml:space="preserve">the </w:t>
      </w:r>
      <w:r w:rsidRPr="00AD1565">
        <w:t>phone belonged to the child’s father, aunt or older sibling), six (55%) reported that they did not see any of the messages.</w:t>
      </w:r>
      <w:r w:rsidRPr="002055BD">
        <w:t xml:space="preserve"> </w:t>
      </w:r>
    </w:p>
    <w:p w:rsidR="00BA6265" w:rsidRPr="00FC18C9" w:rsidRDefault="00BA6265" w:rsidP="00FC18C9">
      <w:pPr>
        <w:pStyle w:val="Heading6"/>
        <w:numPr>
          <w:ilvl w:val="0"/>
          <w:numId w:val="19"/>
        </w:numPr>
      </w:pPr>
      <w:bookmarkStart w:id="8" w:name="_Toc293669870"/>
      <w:r w:rsidRPr="00FC18C9">
        <w:t xml:space="preserve">Primary outcome – clinic attendance </w:t>
      </w:r>
    </w:p>
    <w:p w:rsidR="00BA6265" w:rsidRPr="002055BD" w:rsidRDefault="00BA6265" w:rsidP="00FC18C9">
      <w:pPr>
        <w:pStyle w:val="Heading7"/>
        <w:numPr>
          <w:ilvl w:val="0"/>
          <w:numId w:val="20"/>
        </w:numPr>
      </w:pPr>
      <w:r w:rsidRPr="002055BD">
        <w:t>Intention to treat analysis</w:t>
      </w:r>
      <w:bookmarkEnd w:id="8"/>
    </w:p>
    <w:p w:rsidR="00BA6265" w:rsidRDefault="00BA6265" w:rsidP="006C0B32">
      <w:r w:rsidRPr="002055BD">
        <w:t xml:space="preserve">There was no significant difference in clinic attendance rates between the two groups (Table </w:t>
      </w:r>
      <w:r>
        <w:t>2</w:t>
      </w:r>
      <w:r w:rsidRPr="002055BD">
        <w:t xml:space="preserve">). Clinic attendance rates were 1.3 visits per child in </w:t>
      </w:r>
      <w:r>
        <w:t xml:space="preserve">both </w:t>
      </w:r>
      <w:r w:rsidRPr="002055BD">
        <w:t xml:space="preserve">the control </w:t>
      </w:r>
      <w:r>
        <w:t xml:space="preserve">and intervention </w:t>
      </w:r>
      <w:r w:rsidRPr="002055BD">
        <w:t>group</w:t>
      </w:r>
      <w:r>
        <w:t>s.</w:t>
      </w:r>
    </w:p>
    <w:p w:rsidR="00BA6265" w:rsidRDefault="00BA6265" w:rsidP="006C0B32"/>
    <w:p w:rsidR="00BA6265" w:rsidRDefault="00BA6265" w:rsidP="00740083">
      <w:pPr>
        <w:ind w:left="284" w:right="283"/>
        <w:rPr>
          <w:bCs/>
        </w:rPr>
      </w:pPr>
      <w:proofErr w:type="gramStart"/>
      <w:r w:rsidRPr="005B2D91">
        <w:rPr>
          <w:b/>
        </w:rPr>
        <w:t xml:space="preserve">Table </w:t>
      </w:r>
      <w:r>
        <w:rPr>
          <w:b/>
        </w:rPr>
        <w:t>2.</w:t>
      </w:r>
      <w:proofErr w:type="gramEnd"/>
      <w:r w:rsidRPr="00161D72">
        <w:rPr>
          <w:b/>
        </w:rPr>
        <w:t xml:space="preserve"> </w:t>
      </w:r>
      <w:r w:rsidRPr="005B2D91">
        <w:t xml:space="preserve">Clinic attendance rates over the six week period for all children enrolled in the study (n = 53). </w:t>
      </w:r>
      <w:r w:rsidRPr="005B2D91">
        <w:rPr>
          <w:bCs/>
        </w:rPr>
        <w:t>Figures in parentheses represent 95% confidence intervals.</w:t>
      </w:r>
    </w:p>
    <w:p w:rsidR="00BA6265" w:rsidRPr="005B2D91" w:rsidRDefault="00BA6265" w:rsidP="00740083">
      <w:pPr>
        <w:ind w:left="284" w:right="283"/>
      </w:pPr>
    </w:p>
    <w:tbl>
      <w:tblPr>
        <w:tblW w:w="9209" w:type="dxa"/>
        <w:tblInd w:w="397" w:type="dxa"/>
        <w:tblBorders>
          <w:top w:val="single" w:sz="12" w:space="0" w:color="008000"/>
          <w:bottom w:val="single" w:sz="12" w:space="0" w:color="008000"/>
        </w:tblBorders>
        <w:tblLayout w:type="fixed"/>
        <w:tblLook w:val="0020" w:firstRow="1" w:lastRow="0" w:firstColumn="0" w:lastColumn="0" w:noHBand="0" w:noVBand="0"/>
      </w:tblPr>
      <w:tblGrid>
        <w:gridCol w:w="3822"/>
        <w:gridCol w:w="1572"/>
        <w:gridCol w:w="1547"/>
        <w:gridCol w:w="2268"/>
      </w:tblGrid>
      <w:tr w:rsidR="00BA6265" w:rsidRPr="00EF51FB" w:rsidTr="00DC53ED">
        <w:trPr>
          <w:trHeight w:val="302"/>
        </w:trPr>
        <w:tc>
          <w:tcPr>
            <w:tcW w:w="3822" w:type="dxa"/>
            <w:tcBorders>
              <w:top w:val="single" w:sz="12" w:space="0" w:color="auto"/>
              <w:bottom w:val="single" w:sz="12" w:space="0" w:color="auto"/>
            </w:tcBorders>
            <w:noWrap/>
          </w:tcPr>
          <w:p w:rsidR="00BA6265" w:rsidRPr="00EF51FB" w:rsidRDefault="00BA6265" w:rsidP="00660039">
            <w:pPr>
              <w:contextualSpacing/>
              <w:rPr>
                <w:b/>
                <w:bCs/>
                <w:color w:val="4F81BD"/>
              </w:rPr>
            </w:pPr>
          </w:p>
        </w:tc>
        <w:tc>
          <w:tcPr>
            <w:tcW w:w="1572" w:type="dxa"/>
            <w:tcBorders>
              <w:top w:val="single" w:sz="12" w:space="0" w:color="auto"/>
              <w:bottom w:val="single" w:sz="12" w:space="0" w:color="auto"/>
            </w:tcBorders>
            <w:noWrap/>
          </w:tcPr>
          <w:p w:rsidR="00BA6265" w:rsidRPr="00EF51FB" w:rsidRDefault="00BA6265" w:rsidP="000262A7">
            <w:pPr>
              <w:contextualSpacing/>
              <w:jc w:val="center"/>
              <w:rPr>
                <w:b/>
              </w:rPr>
            </w:pPr>
            <w:r w:rsidRPr="00EF51FB">
              <w:rPr>
                <w:b/>
              </w:rPr>
              <w:t>Control group</w:t>
            </w:r>
          </w:p>
        </w:tc>
        <w:tc>
          <w:tcPr>
            <w:tcW w:w="1547" w:type="dxa"/>
            <w:tcBorders>
              <w:top w:val="single" w:sz="12" w:space="0" w:color="auto"/>
              <w:bottom w:val="single" w:sz="12" w:space="0" w:color="auto"/>
            </w:tcBorders>
            <w:noWrap/>
          </w:tcPr>
          <w:p w:rsidR="00BA6265" w:rsidRPr="00EF51FB" w:rsidRDefault="00BA6265" w:rsidP="000262A7">
            <w:pPr>
              <w:contextualSpacing/>
              <w:jc w:val="center"/>
              <w:rPr>
                <w:b/>
              </w:rPr>
            </w:pPr>
            <w:r w:rsidRPr="00EF51FB">
              <w:rPr>
                <w:b/>
              </w:rPr>
              <w:t>Intervention group</w:t>
            </w:r>
          </w:p>
        </w:tc>
        <w:tc>
          <w:tcPr>
            <w:tcW w:w="2268" w:type="dxa"/>
            <w:tcBorders>
              <w:top w:val="single" w:sz="12" w:space="0" w:color="auto"/>
              <w:bottom w:val="single" w:sz="12" w:space="0" w:color="auto"/>
            </w:tcBorders>
            <w:noWrap/>
          </w:tcPr>
          <w:p w:rsidR="00BA6265" w:rsidRPr="00EF51FB" w:rsidRDefault="00BA6265" w:rsidP="000262A7">
            <w:pPr>
              <w:contextualSpacing/>
              <w:jc w:val="center"/>
              <w:rPr>
                <w:b/>
              </w:rPr>
            </w:pPr>
            <w:r>
              <w:rPr>
                <w:b/>
              </w:rPr>
              <w:t xml:space="preserve">Mean </w:t>
            </w:r>
            <w:r w:rsidRPr="00EF51FB">
              <w:rPr>
                <w:b/>
              </w:rPr>
              <w:t>Difference</w:t>
            </w:r>
          </w:p>
        </w:tc>
      </w:tr>
      <w:tr w:rsidR="00BA6265" w:rsidRPr="00EF51FB" w:rsidTr="00DC53ED">
        <w:trPr>
          <w:trHeight w:val="302"/>
        </w:trPr>
        <w:tc>
          <w:tcPr>
            <w:tcW w:w="3822" w:type="dxa"/>
            <w:tcBorders>
              <w:top w:val="single" w:sz="12" w:space="0" w:color="auto"/>
            </w:tcBorders>
            <w:noWrap/>
          </w:tcPr>
          <w:p w:rsidR="00BA6265" w:rsidRPr="00EF51FB" w:rsidRDefault="00BA6265" w:rsidP="00660039">
            <w:pPr>
              <w:contextualSpacing/>
            </w:pPr>
            <w:r w:rsidRPr="00EF51FB">
              <w:t>No. clinic attendances</w:t>
            </w:r>
          </w:p>
        </w:tc>
        <w:tc>
          <w:tcPr>
            <w:tcW w:w="1572" w:type="dxa"/>
            <w:tcBorders>
              <w:top w:val="single" w:sz="12" w:space="0" w:color="auto"/>
            </w:tcBorders>
            <w:noWrap/>
          </w:tcPr>
          <w:p w:rsidR="00BA6265" w:rsidRPr="00EF51FB" w:rsidRDefault="00BA6265" w:rsidP="000262A7">
            <w:pPr>
              <w:contextualSpacing/>
              <w:jc w:val="center"/>
            </w:pPr>
            <w:r w:rsidRPr="00EF51FB">
              <w:t>31</w:t>
            </w:r>
          </w:p>
        </w:tc>
        <w:tc>
          <w:tcPr>
            <w:tcW w:w="1547" w:type="dxa"/>
            <w:tcBorders>
              <w:top w:val="single" w:sz="12" w:space="0" w:color="auto"/>
            </w:tcBorders>
            <w:noWrap/>
          </w:tcPr>
          <w:p w:rsidR="00BA6265" w:rsidRPr="00EF51FB" w:rsidRDefault="00BA6265" w:rsidP="000262A7">
            <w:pPr>
              <w:contextualSpacing/>
              <w:jc w:val="center"/>
            </w:pPr>
            <w:r w:rsidRPr="00EF51FB">
              <w:t>38</w:t>
            </w:r>
          </w:p>
        </w:tc>
        <w:tc>
          <w:tcPr>
            <w:tcW w:w="2268" w:type="dxa"/>
            <w:tcBorders>
              <w:top w:val="single" w:sz="12" w:space="0" w:color="auto"/>
            </w:tcBorders>
            <w:noWrap/>
          </w:tcPr>
          <w:p w:rsidR="00BA6265" w:rsidRPr="00EF51FB" w:rsidRDefault="00BA6265" w:rsidP="000262A7">
            <w:pPr>
              <w:contextualSpacing/>
              <w:jc w:val="center"/>
            </w:pPr>
          </w:p>
        </w:tc>
      </w:tr>
      <w:tr w:rsidR="00BA6265" w:rsidRPr="00EF51FB" w:rsidTr="00DC53ED">
        <w:trPr>
          <w:trHeight w:val="302"/>
        </w:trPr>
        <w:tc>
          <w:tcPr>
            <w:tcW w:w="3822" w:type="dxa"/>
            <w:noWrap/>
          </w:tcPr>
          <w:p w:rsidR="00BA6265" w:rsidRPr="00EF51FB" w:rsidRDefault="00BA6265" w:rsidP="00660039">
            <w:pPr>
              <w:contextualSpacing/>
            </w:pPr>
            <w:r w:rsidRPr="00EF51FB">
              <w:t>Clinic attendances per child</w:t>
            </w:r>
          </w:p>
        </w:tc>
        <w:tc>
          <w:tcPr>
            <w:tcW w:w="1572" w:type="dxa"/>
            <w:noWrap/>
          </w:tcPr>
          <w:p w:rsidR="00BA6265" w:rsidRPr="00EF51FB" w:rsidRDefault="00BA6265" w:rsidP="000262A7">
            <w:pPr>
              <w:contextualSpacing/>
              <w:jc w:val="center"/>
            </w:pPr>
            <w:r w:rsidRPr="00EF51FB">
              <w:t>1.3 (0.6, 2.1)</w:t>
            </w:r>
          </w:p>
        </w:tc>
        <w:tc>
          <w:tcPr>
            <w:tcW w:w="1547" w:type="dxa"/>
            <w:noWrap/>
          </w:tcPr>
          <w:p w:rsidR="00BA6265" w:rsidRPr="00EF51FB" w:rsidRDefault="00BA6265" w:rsidP="000262A7">
            <w:pPr>
              <w:contextualSpacing/>
              <w:jc w:val="center"/>
            </w:pPr>
            <w:r w:rsidRPr="00EF51FB">
              <w:t>1.3 (0.6, 1.9)</w:t>
            </w:r>
          </w:p>
        </w:tc>
        <w:tc>
          <w:tcPr>
            <w:tcW w:w="2268" w:type="dxa"/>
            <w:noWrap/>
          </w:tcPr>
          <w:p w:rsidR="00BA6265" w:rsidRPr="00EF51FB" w:rsidRDefault="00BA6265" w:rsidP="000262A7">
            <w:pPr>
              <w:ind w:left="720"/>
              <w:contextualSpacing/>
              <w:jc w:val="center"/>
            </w:pPr>
            <w:r w:rsidRPr="00EF51FB">
              <w:t>-0.1 (-1.1, 0.9)</w:t>
            </w:r>
          </w:p>
        </w:tc>
      </w:tr>
      <w:tr w:rsidR="00BA6265" w:rsidRPr="00EF51FB" w:rsidTr="00DC53ED">
        <w:trPr>
          <w:trHeight w:val="302"/>
        </w:trPr>
        <w:tc>
          <w:tcPr>
            <w:tcW w:w="3822" w:type="dxa"/>
            <w:tcBorders>
              <w:bottom w:val="single" w:sz="12" w:space="0" w:color="auto"/>
            </w:tcBorders>
            <w:noWrap/>
            <w:vAlign w:val="center"/>
          </w:tcPr>
          <w:p w:rsidR="00BA6265" w:rsidRPr="00EF51FB" w:rsidRDefault="00BA6265" w:rsidP="00660039">
            <w:pPr>
              <w:contextualSpacing/>
            </w:pPr>
            <w:r w:rsidRPr="00EF51FB">
              <w:t>Clinic attendances per child (for ear problem)</w:t>
            </w:r>
          </w:p>
        </w:tc>
        <w:tc>
          <w:tcPr>
            <w:tcW w:w="1572" w:type="dxa"/>
            <w:tcBorders>
              <w:bottom w:val="single" w:sz="12" w:space="0" w:color="auto"/>
            </w:tcBorders>
            <w:noWrap/>
            <w:vAlign w:val="center"/>
          </w:tcPr>
          <w:p w:rsidR="00BA6265" w:rsidRPr="00EF51FB" w:rsidRDefault="00BA6265" w:rsidP="000262A7">
            <w:pPr>
              <w:contextualSpacing/>
              <w:jc w:val="center"/>
            </w:pPr>
            <w:r w:rsidRPr="00EF51FB">
              <w:t>0.4 (0.0, 0.9)</w:t>
            </w:r>
          </w:p>
        </w:tc>
        <w:tc>
          <w:tcPr>
            <w:tcW w:w="1547" w:type="dxa"/>
            <w:tcBorders>
              <w:bottom w:val="single" w:sz="12" w:space="0" w:color="auto"/>
            </w:tcBorders>
            <w:noWrap/>
            <w:vAlign w:val="center"/>
          </w:tcPr>
          <w:p w:rsidR="00BA6265" w:rsidRPr="00EF51FB" w:rsidRDefault="00BA6265" w:rsidP="000262A7">
            <w:pPr>
              <w:contextualSpacing/>
              <w:jc w:val="center"/>
            </w:pPr>
            <w:r w:rsidRPr="00EF51FB">
              <w:t>0.2 (0.0, 0.3)</w:t>
            </w:r>
          </w:p>
        </w:tc>
        <w:tc>
          <w:tcPr>
            <w:tcW w:w="2268" w:type="dxa"/>
            <w:tcBorders>
              <w:bottom w:val="single" w:sz="12" w:space="0" w:color="auto"/>
            </w:tcBorders>
            <w:noWrap/>
            <w:vAlign w:val="center"/>
          </w:tcPr>
          <w:p w:rsidR="00BA6265" w:rsidRPr="00EF51FB" w:rsidRDefault="00BA6265" w:rsidP="000262A7">
            <w:pPr>
              <w:contextualSpacing/>
              <w:jc w:val="center"/>
            </w:pPr>
            <w:r w:rsidRPr="00EF51FB">
              <w:t>-0.3 (-0.8, 0.2)</w:t>
            </w:r>
          </w:p>
        </w:tc>
      </w:tr>
    </w:tbl>
    <w:p w:rsidR="00BA6265" w:rsidRDefault="00BA6265" w:rsidP="00660039">
      <w:pPr>
        <w:contextualSpacing/>
      </w:pPr>
    </w:p>
    <w:p w:rsidR="00BA6265" w:rsidRDefault="00BA6265" w:rsidP="006C0B32"/>
    <w:p w:rsidR="00BA6265" w:rsidRPr="002055BD" w:rsidRDefault="00BA6265" w:rsidP="006C0B32">
      <w:r w:rsidRPr="002055BD">
        <w:t>Thirty</w:t>
      </w:r>
      <w:r>
        <w:t xml:space="preserve"> </w:t>
      </w:r>
      <w:r w:rsidRPr="002055BD">
        <w:t>three children (62%) attended the clinic at least once and nine (17%) attended at least once where the primary reason was for an ear problem.</w:t>
      </w:r>
    </w:p>
    <w:p w:rsidR="00BA6265" w:rsidRPr="002055BD" w:rsidRDefault="00BA6265" w:rsidP="006C0B32"/>
    <w:p w:rsidR="00BA6265" w:rsidRPr="0025753C" w:rsidRDefault="00BA6265" w:rsidP="00FC18C9">
      <w:pPr>
        <w:pStyle w:val="Heading7"/>
        <w:numPr>
          <w:ilvl w:val="0"/>
          <w:numId w:val="20"/>
        </w:numPr>
      </w:pPr>
      <w:r w:rsidRPr="0025753C">
        <w:t>Per protocol analysis</w:t>
      </w:r>
    </w:p>
    <w:p w:rsidR="00BA6265" w:rsidRPr="002055BD" w:rsidRDefault="00BA6265" w:rsidP="006C0B32">
      <w:r>
        <w:t>In this analysis, w</w:t>
      </w:r>
      <w:r w:rsidRPr="002055BD">
        <w:t xml:space="preserve">e excluded 10 </w:t>
      </w:r>
      <w:r>
        <w:t>families</w:t>
      </w:r>
      <w:r w:rsidRPr="002055BD">
        <w:t xml:space="preserve"> who reported not having seen any messages. There were no significant differences in the results.</w:t>
      </w:r>
    </w:p>
    <w:p w:rsidR="00BA6265" w:rsidRDefault="00BA6265" w:rsidP="0025753C">
      <w:pPr>
        <w:spacing w:after="960"/>
        <w:rPr>
          <w:b/>
        </w:rPr>
      </w:pPr>
    </w:p>
    <w:p w:rsidR="00BA6265" w:rsidRPr="00FC18C9" w:rsidRDefault="00FC18C9" w:rsidP="00FC18C9">
      <w:pPr>
        <w:pStyle w:val="Heading6"/>
        <w:numPr>
          <w:ilvl w:val="0"/>
          <w:numId w:val="19"/>
        </w:numPr>
      </w:pPr>
      <w:r>
        <w:lastRenderedPageBreak/>
        <w:t>S</w:t>
      </w:r>
      <w:r w:rsidR="00BA6265" w:rsidRPr="00FC18C9">
        <w:t>econdary outcomes</w:t>
      </w:r>
    </w:p>
    <w:p w:rsidR="00BA6265" w:rsidRPr="002055BD" w:rsidRDefault="00BA6265" w:rsidP="00FC18C9">
      <w:pPr>
        <w:pStyle w:val="Heading7"/>
        <w:numPr>
          <w:ilvl w:val="0"/>
          <w:numId w:val="18"/>
        </w:numPr>
      </w:pPr>
      <w:r w:rsidRPr="002055BD">
        <w:t>Ear health outcomes</w:t>
      </w:r>
    </w:p>
    <w:p w:rsidR="00BA6265" w:rsidRDefault="00BA6265" w:rsidP="006C0B32">
      <w:r w:rsidRPr="002055BD">
        <w:t>We were able to perform follow up clinical examinations on 47 (89%) children</w:t>
      </w:r>
      <w:r>
        <w:t xml:space="preserve"> (Table 3)</w:t>
      </w:r>
      <w:r w:rsidRPr="002055BD">
        <w:t xml:space="preserve">. </w:t>
      </w:r>
      <w:r>
        <w:t>Three children in the intervention group and one child in the control group had resolved ear perforation states at the six week assessment. Around 70% in both groups still had CSOM and 20-25% of children had a DP. There were no statistically significant changes in the diagnoses between the two groups (Tables 1 and 3).</w:t>
      </w:r>
    </w:p>
    <w:p w:rsidR="00BA6265" w:rsidRDefault="00BA6265" w:rsidP="00660039">
      <w:pPr>
        <w:rPr>
          <w:color w:val="000000"/>
          <w:lang w:eastAsia="en-US"/>
        </w:rPr>
      </w:pPr>
    </w:p>
    <w:p w:rsidR="00BA6265" w:rsidRDefault="00BA6265" w:rsidP="00740083">
      <w:pPr>
        <w:ind w:firstLine="284"/>
      </w:pPr>
      <w:r w:rsidRPr="005B2D91">
        <w:rPr>
          <w:b/>
        </w:rPr>
        <w:t>Table 3.</w:t>
      </w:r>
      <w:r w:rsidRPr="005B2D91">
        <w:t xml:space="preserve"> Follow-up diagnoses, by worse ear, for all children at week 6 (n=47).</w:t>
      </w:r>
    </w:p>
    <w:p w:rsidR="00BA6265" w:rsidRPr="005B2D91" w:rsidRDefault="00BA6265" w:rsidP="00740083">
      <w:pPr>
        <w:ind w:firstLine="284"/>
        <w:rPr>
          <w:color w:val="FF0000"/>
        </w:rPr>
      </w:pPr>
    </w:p>
    <w:tbl>
      <w:tblPr>
        <w:tblW w:w="9209" w:type="dxa"/>
        <w:tblInd w:w="397" w:type="dxa"/>
        <w:tblBorders>
          <w:top w:val="single" w:sz="12" w:space="0" w:color="auto"/>
          <w:bottom w:val="single" w:sz="12" w:space="0" w:color="auto"/>
        </w:tblBorders>
        <w:tblLayout w:type="fixed"/>
        <w:tblLook w:val="0060" w:firstRow="1" w:lastRow="1" w:firstColumn="0" w:lastColumn="0" w:noHBand="0" w:noVBand="0"/>
      </w:tblPr>
      <w:tblGrid>
        <w:gridCol w:w="3255"/>
        <w:gridCol w:w="921"/>
        <w:gridCol w:w="922"/>
        <w:gridCol w:w="1063"/>
        <w:gridCol w:w="1063"/>
        <w:gridCol w:w="992"/>
        <w:gridCol w:w="993"/>
      </w:tblGrid>
      <w:tr w:rsidR="00BA6265" w:rsidRPr="00EF51FB" w:rsidTr="00DC53ED">
        <w:trPr>
          <w:trHeight w:val="282"/>
        </w:trPr>
        <w:tc>
          <w:tcPr>
            <w:tcW w:w="3255" w:type="dxa"/>
            <w:tcBorders>
              <w:top w:val="single" w:sz="12" w:space="0" w:color="auto"/>
              <w:bottom w:val="single" w:sz="6" w:space="0" w:color="auto"/>
            </w:tcBorders>
            <w:noWrap/>
          </w:tcPr>
          <w:p w:rsidR="00BA6265" w:rsidRPr="00EF51FB" w:rsidRDefault="00BA6265" w:rsidP="00660039">
            <w:pPr>
              <w:contextualSpacing/>
              <w:rPr>
                <w:b/>
              </w:rPr>
            </w:pPr>
          </w:p>
        </w:tc>
        <w:tc>
          <w:tcPr>
            <w:tcW w:w="1843" w:type="dxa"/>
            <w:gridSpan w:val="2"/>
            <w:tcBorders>
              <w:top w:val="single" w:sz="12" w:space="0" w:color="auto"/>
              <w:bottom w:val="single" w:sz="6" w:space="0" w:color="auto"/>
            </w:tcBorders>
            <w:noWrap/>
          </w:tcPr>
          <w:p w:rsidR="00BA6265" w:rsidRPr="00EF51FB" w:rsidRDefault="00BA6265" w:rsidP="000262A7">
            <w:pPr>
              <w:contextualSpacing/>
              <w:jc w:val="center"/>
              <w:rPr>
                <w:b/>
              </w:rPr>
            </w:pPr>
            <w:r w:rsidRPr="00EF51FB">
              <w:rPr>
                <w:b/>
              </w:rPr>
              <w:t>Control group</w:t>
            </w:r>
          </w:p>
        </w:tc>
        <w:tc>
          <w:tcPr>
            <w:tcW w:w="2126" w:type="dxa"/>
            <w:gridSpan w:val="2"/>
            <w:tcBorders>
              <w:top w:val="single" w:sz="12" w:space="0" w:color="auto"/>
              <w:bottom w:val="single" w:sz="6" w:space="0" w:color="auto"/>
            </w:tcBorders>
          </w:tcPr>
          <w:p w:rsidR="00BA6265" w:rsidRPr="00EF51FB" w:rsidRDefault="00BA6265" w:rsidP="000262A7">
            <w:pPr>
              <w:contextualSpacing/>
              <w:jc w:val="center"/>
              <w:rPr>
                <w:b/>
              </w:rPr>
            </w:pPr>
            <w:r w:rsidRPr="00EF51FB">
              <w:rPr>
                <w:b/>
              </w:rPr>
              <w:t>Intervention group</w:t>
            </w:r>
          </w:p>
        </w:tc>
        <w:tc>
          <w:tcPr>
            <w:tcW w:w="1985" w:type="dxa"/>
            <w:gridSpan w:val="2"/>
            <w:tcBorders>
              <w:top w:val="single" w:sz="12" w:space="0" w:color="auto"/>
              <w:bottom w:val="single" w:sz="6" w:space="0" w:color="auto"/>
            </w:tcBorders>
            <w:noWrap/>
          </w:tcPr>
          <w:p w:rsidR="00BA6265" w:rsidRPr="00EF51FB" w:rsidRDefault="00BA6265" w:rsidP="000262A7">
            <w:pPr>
              <w:contextualSpacing/>
              <w:jc w:val="center"/>
              <w:rPr>
                <w:b/>
              </w:rPr>
            </w:pPr>
            <w:r w:rsidRPr="00EF51FB">
              <w:rPr>
                <w:b/>
              </w:rPr>
              <w:t>Totals</w:t>
            </w:r>
          </w:p>
        </w:tc>
      </w:tr>
      <w:tr w:rsidR="00BA6265" w:rsidRPr="00EF51FB" w:rsidTr="00DC53ED">
        <w:trPr>
          <w:trHeight w:val="387"/>
        </w:trPr>
        <w:tc>
          <w:tcPr>
            <w:tcW w:w="3255" w:type="dxa"/>
            <w:tcBorders>
              <w:top w:val="single" w:sz="6" w:space="0" w:color="auto"/>
              <w:bottom w:val="single" w:sz="12" w:space="0" w:color="auto"/>
            </w:tcBorders>
            <w:noWrap/>
          </w:tcPr>
          <w:p w:rsidR="00BA6265" w:rsidRPr="00EF51FB" w:rsidRDefault="00BA6265" w:rsidP="00660039">
            <w:pPr>
              <w:contextualSpacing/>
            </w:pPr>
          </w:p>
        </w:tc>
        <w:tc>
          <w:tcPr>
            <w:tcW w:w="921" w:type="dxa"/>
            <w:tcBorders>
              <w:top w:val="single" w:sz="6" w:space="0" w:color="auto"/>
              <w:bottom w:val="single" w:sz="12" w:space="0" w:color="auto"/>
            </w:tcBorders>
            <w:noWrap/>
          </w:tcPr>
          <w:p w:rsidR="00BA6265" w:rsidRPr="00EF51FB" w:rsidRDefault="00BA6265" w:rsidP="000262A7">
            <w:pPr>
              <w:contextualSpacing/>
              <w:jc w:val="center"/>
            </w:pPr>
            <w:r w:rsidRPr="00EF51FB">
              <w:t>No.</w:t>
            </w:r>
          </w:p>
        </w:tc>
        <w:tc>
          <w:tcPr>
            <w:tcW w:w="922" w:type="dxa"/>
            <w:tcBorders>
              <w:top w:val="single" w:sz="6" w:space="0" w:color="auto"/>
              <w:bottom w:val="single" w:sz="12" w:space="0" w:color="auto"/>
            </w:tcBorders>
          </w:tcPr>
          <w:p w:rsidR="00BA6265" w:rsidRPr="00EF51FB" w:rsidRDefault="00BA6265" w:rsidP="000262A7">
            <w:pPr>
              <w:contextualSpacing/>
              <w:jc w:val="center"/>
            </w:pPr>
            <w:r w:rsidRPr="00EF51FB">
              <w:t>%</w:t>
            </w:r>
          </w:p>
        </w:tc>
        <w:tc>
          <w:tcPr>
            <w:tcW w:w="1063" w:type="dxa"/>
            <w:tcBorders>
              <w:top w:val="single" w:sz="6" w:space="0" w:color="auto"/>
              <w:bottom w:val="single" w:sz="12" w:space="0" w:color="auto"/>
            </w:tcBorders>
          </w:tcPr>
          <w:p w:rsidR="00BA6265" w:rsidRPr="00EF51FB" w:rsidRDefault="00BA6265" w:rsidP="000262A7">
            <w:pPr>
              <w:contextualSpacing/>
              <w:jc w:val="center"/>
            </w:pPr>
            <w:r w:rsidRPr="00EF51FB">
              <w:t>No.</w:t>
            </w:r>
          </w:p>
        </w:tc>
        <w:tc>
          <w:tcPr>
            <w:tcW w:w="1063" w:type="dxa"/>
            <w:tcBorders>
              <w:top w:val="single" w:sz="6" w:space="0" w:color="auto"/>
              <w:bottom w:val="single" w:sz="12" w:space="0" w:color="auto"/>
            </w:tcBorders>
          </w:tcPr>
          <w:p w:rsidR="00BA6265" w:rsidRPr="00EF51FB" w:rsidRDefault="00BA6265" w:rsidP="000262A7">
            <w:pPr>
              <w:contextualSpacing/>
              <w:jc w:val="center"/>
            </w:pPr>
            <w:r w:rsidRPr="00EF51FB">
              <w:t>%</w:t>
            </w:r>
          </w:p>
        </w:tc>
        <w:tc>
          <w:tcPr>
            <w:tcW w:w="992" w:type="dxa"/>
            <w:tcBorders>
              <w:top w:val="single" w:sz="6" w:space="0" w:color="auto"/>
              <w:bottom w:val="single" w:sz="12" w:space="0" w:color="auto"/>
            </w:tcBorders>
            <w:noWrap/>
          </w:tcPr>
          <w:p w:rsidR="00BA6265" w:rsidRPr="00EF51FB" w:rsidRDefault="00BA6265" w:rsidP="000262A7">
            <w:pPr>
              <w:contextualSpacing/>
              <w:jc w:val="center"/>
            </w:pPr>
            <w:r w:rsidRPr="00EF51FB">
              <w:t>No.</w:t>
            </w:r>
          </w:p>
        </w:tc>
        <w:tc>
          <w:tcPr>
            <w:tcW w:w="993" w:type="dxa"/>
            <w:tcBorders>
              <w:top w:val="single" w:sz="6" w:space="0" w:color="auto"/>
              <w:bottom w:val="single" w:sz="12" w:space="0" w:color="auto"/>
            </w:tcBorders>
          </w:tcPr>
          <w:p w:rsidR="00BA6265" w:rsidRPr="00EF51FB" w:rsidRDefault="00BA6265" w:rsidP="000262A7">
            <w:pPr>
              <w:contextualSpacing/>
              <w:jc w:val="center"/>
            </w:pPr>
            <w:r w:rsidRPr="00EF51FB">
              <w:t>%</w:t>
            </w:r>
          </w:p>
        </w:tc>
      </w:tr>
      <w:tr w:rsidR="00BA6265" w:rsidRPr="00EF51FB" w:rsidTr="00DC53ED">
        <w:trPr>
          <w:trHeight w:val="601"/>
        </w:trPr>
        <w:tc>
          <w:tcPr>
            <w:tcW w:w="3255" w:type="dxa"/>
            <w:tcBorders>
              <w:top w:val="single" w:sz="12" w:space="0" w:color="auto"/>
            </w:tcBorders>
            <w:noWrap/>
          </w:tcPr>
          <w:p w:rsidR="00BA6265" w:rsidRPr="00EF51FB" w:rsidRDefault="00BA6265" w:rsidP="00660039">
            <w:pPr>
              <w:contextualSpacing/>
            </w:pPr>
            <w:r w:rsidRPr="00EF51FB">
              <w:t>No perforation</w:t>
            </w:r>
          </w:p>
        </w:tc>
        <w:tc>
          <w:tcPr>
            <w:tcW w:w="921" w:type="dxa"/>
            <w:tcBorders>
              <w:top w:val="single" w:sz="12" w:space="0" w:color="auto"/>
            </w:tcBorders>
            <w:noWrap/>
          </w:tcPr>
          <w:p w:rsidR="00BA6265" w:rsidRPr="00EF51FB" w:rsidRDefault="00BA6265" w:rsidP="000262A7">
            <w:pPr>
              <w:contextualSpacing/>
              <w:jc w:val="center"/>
            </w:pPr>
            <w:r w:rsidRPr="00EF51FB">
              <w:t>1</w:t>
            </w:r>
          </w:p>
        </w:tc>
        <w:tc>
          <w:tcPr>
            <w:tcW w:w="922" w:type="dxa"/>
            <w:tcBorders>
              <w:top w:val="single" w:sz="12" w:space="0" w:color="auto"/>
            </w:tcBorders>
          </w:tcPr>
          <w:p w:rsidR="00BA6265" w:rsidRPr="00EF51FB" w:rsidRDefault="00BA6265" w:rsidP="000262A7">
            <w:pPr>
              <w:contextualSpacing/>
              <w:jc w:val="center"/>
            </w:pPr>
            <w:r w:rsidRPr="00EF51FB">
              <w:t>5</w:t>
            </w:r>
          </w:p>
        </w:tc>
        <w:tc>
          <w:tcPr>
            <w:tcW w:w="1063" w:type="dxa"/>
            <w:tcBorders>
              <w:top w:val="single" w:sz="12" w:space="0" w:color="auto"/>
            </w:tcBorders>
          </w:tcPr>
          <w:p w:rsidR="00BA6265" w:rsidRPr="00EF51FB" w:rsidRDefault="00BA6265" w:rsidP="000262A7">
            <w:pPr>
              <w:contextualSpacing/>
              <w:jc w:val="center"/>
            </w:pPr>
            <w:r w:rsidRPr="00EF51FB">
              <w:t>3</w:t>
            </w:r>
          </w:p>
        </w:tc>
        <w:tc>
          <w:tcPr>
            <w:tcW w:w="1063" w:type="dxa"/>
            <w:tcBorders>
              <w:top w:val="single" w:sz="12" w:space="0" w:color="auto"/>
            </w:tcBorders>
          </w:tcPr>
          <w:p w:rsidR="00BA6265" w:rsidRPr="00EF51FB" w:rsidRDefault="00BA6265" w:rsidP="000262A7">
            <w:pPr>
              <w:contextualSpacing/>
              <w:jc w:val="center"/>
            </w:pPr>
            <w:r w:rsidRPr="00EF51FB">
              <w:t>11</w:t>
            </w:r>
          </w:p>
        </w:tc>
        <w:tc>
          <w:tcPr>
            <w:tcW w:w="992" w:type="dxa"/>
            <w:tcBorders>
              <w:top w:val="single" w:sz="12" w:space="0" w:color="auto"/>
            </w:tcBorders>
            <w:noWrap/>
          </w:tcPr>
          <w:p w:rsidR="00BA6265" w:rsidRPr="00EF51FB" w:rsidRDefault="00BA6265" w:rsidP="000262A7">
            <w:pPr>
              <w:contextualSpacing/>
              <w:jc w:val="center"/>
            </w:pPr>
            <w:r w:rsidRPr="00EF51FB">
              <w:t>4</w:t>
            </w:r>
          </w:p>
        </w:tc>
        <w:tc>
          <w:tcPr>
            <w:tcW w:w="993" w:type="dxa"/>
            <w:tcBorders>
              <w:top w:val="single" w:sz="12" w:space="0" w:color="auto"/>
            </w:tcBorders>
          </w:tcPr>
          <w:p w:rsidR="00BA6265" w:rsidRPr="00EF51FB" w:rsidRDefault="00BA6265" w:rsidP="000262A7">
            <w:pPr>
              <w:contextualSpacing/>
              <w:jc w:val="center"/>
            </w:pPr>
            <w:r w:rsidRPr="00EF51FB">
              <w:t>9</w:t>
            </w:r>
          </w:p>
        </w:tc>
      </w:tr>
      <w:tr w:rsidR="00BA6265" w:rsidRPr="00EF51FB" w:rsidTr="00DC53ED">
        <w:tblPrEx>
          <w:tblLook w:val="01E0" w:firstRow="1" w:lastRow="1" w:firstColumn="1" w:lastColumn="1" w:noHBand="0" w:noVBand="0"/>
        </w:tblPrEx>
        <w:trPr>
          <w:trHeight w:val="282"/>
        </w:trPr>
        <w:tc>
          <w:tcPr>
            <w:tcW w:w="3255" w:type="dxa"/>
            <w:noWrap/>
          </w:tcPr>
          <w:p w:rsidR="00BA6265" w:rsidRPr="00EF51FB" w:rsidRDefault="00BA6265" w:rsidP="00660039">
            <w:pPr>
              <w:contextualSpacing/>
            </w:pPr>
            <w:proofErr w:type="spellStart"/>
            <w:r w:rsidRPr="00EF51FB">
              <w:t>AOMwiP</w:t>
            </w:r>
            <w:proofErr w:type="spellEnd"/>
            <w:r w:rsidRPr="00EF51FB">
              <w:rPr>
                <w:rStyle w:val="FootnoteReference"/>
              </w:rPr>
              <w:footnoteReference w:id="6"/>
            </w:r>
          </w:p>
        </w:tc>
        <w:tc>
          <w:tcPr>
            <w:tcW w:w="921" w:type="dxa"/>
            <w:noWrap/>
          </w:tcPr>
          <w:p w:rsidR="00BA6265" w:rsidRPr="00EF51FB" w:rsidRDefault="00BA6265" w:rsidP="000262A7">
            <w:pPr>
              <w:contextualSpacing/>
              <w:jc w:val="center"/>
            </w:pPr>
            <w:r w:rsidRPr="00EF51FB">
              <w:t>0</w:t>
            </w:r>
          </w:p>
        </w:tc>
        <w:tc>
          <w:tcPr>
            <w:tcW w:w="922" w:type="dxa"/>
          </w:tcPr>
          <w:p w:rsidR="00BA6265" w:rsidRPr="00EF51FB" w:rsidRDefault="00BA6265" w:rsidP="000262A7">
            <w:pPr>
              <w:contextualSpacing/>
              <w:jc w:val="center"/>
            </w:pPr>
            <w:r w:rsidRPr="00EF51FB">
              <w:t>0</w:t>
            </w:r>
          </w:p>
        </w:tc>
        <w:tc>
          <w:tcPr>
            <w:tcW w:w="1063" w:type="dxa"/>
            <w:noWrap/>
          </w:tcPr>
          <w:p w:rsidR="00BA6265" w:rsidRPr="00EF51FB" w:rsidRDefault="00BA6265" w:rsidP="000262A7">
            <w:pPr>
              <w:contextualSpacing/>
              <w:jc w:val="center"/>
            </w:pPr>
            <w:r w:rsidRPr="00EF51FB">
              <w:t>0</w:t>
            </w:r>
          </w:p>
        </w:tc>
        <w:tc>
          <w:tcPr>
            <w:tcW w:w="1063" w:type="dxa"/>
          </w:tcPr>
          <w:p w:rsidR="00BA6265" w:rsidRPr="00EF51FB" w:rsidRDefault="00BA6265" w:rsidP="000262A7">
            <w:pPr>
              <w:contextualSpacing/>
              <w:jc w:val="center"/>
            </w:pPr>
            <w:r w:rsidRPr="00EF51FB">
              <w:t>0</w:t>
            </w:r>
          </w:p>
        </w:tc>
        <w:tc>
          <w:tcPr>
            <w:tcW w:w="992" w:type="dxa"/>
            <w:noWrap/>
          </w:tcPr>
          <w:p w:rsidR="00BA6265" w:rsidRPr="00EF51FB" w:rsidRDefault="00BA6265" w:rsidP="000262A7">
            <w:pPr>
              <w:contextualSpacing/>
              <w:jc w:val="center"/>
            </w:pPr>
            <w:r w:rsidRPr="00EF51FB">
              <w:t>0</w:t>
            </w:r>
          </w:p>
        </w:tc>
        <w:tc>
          <w:tcPr>
            <w:tcW w:w="993" w:type="dxa"/>
          </w:tcPr>
          <w:p w:rsidR="00BA6265" w:rsidRPr="00EF51FB" w:rsidRDefault="00BA6265" w:rsidP="000262A7">
            <w:pPr>
              <w:contextualSpacing/>
              <w:jc w:val="center"/>
            </w:pPr>
            <w:r w:rsidRPr="00EF51FB">
              <w:t>0</w:t>
            </w:r>
          </w:p>
        </w:tc>
      </w:tr>
      <w:tr w:rsidR="00BA6265" w:rsidRPr="00EF51FB" w:rsidTr="00DC53ED">
        <w:tblPrEx>
          <w:tblLook w:val="01E0" w:firstRow="1" w:lastRow="1" w:firstColumn="1" w:lastColumn="1" w:noHBand="0" w:noVBand="0"/>
        </w:tblPrEx>
        <w:trPr>
          <w:trHeight w:val="282"/>
        </w:trPr>
        <w:tc>
          <w:tcPr>
            <w:tcW w:w="3255" w:type="dxa"/>
            <w:noWrap/>
          </w:tcPr>
          <w:p w:rsidR="00BA6265" w:rsidRPr="00EF51FB" w:rsidRDefault="00BA6265" w:rsidP="00660039">
            <w:pPr>
              <w:contextualSpacing/>
            </w:pPr>
            <w:r w:rsidRPr="00EF51FB">
              <w:t>DP</w:t>
            </w:r>
            <w:r w:rsidRPr="00EF51FB">
              <w:rPr>
                <w:rStyle w:val="FootnoteReference"/>
              </w:rPr>
              <w:footnoteReference w:id="7"/>
            </w:r>
          </w:p>
        </w:tc>
        <w:tc>
          <w:tcPr>
            <w:tcW w:w="921" w:type="dxa"/>
            <w:noWrap/>
          </w:tcPr>
          <w:p w:rsidR="00BA6265" w:rsidRPr="00EF51FB" w:rsidRDefault="00BA6265" w:rsidP="000262A7">
            <w:pPr>
              <w:contextualSpacing/>
              <w:jc w:val="center"/>
            </w:pPr>
            <w:r w:rsidRPr="00EF51FB">
              <w:t>5</w:t>
            </w:r>
          </w:p>
        </w:tc>
        <w:tc>
          <w:tcPr>
            <w:tcW w:w="922" w:type="dxa"/>
          </w:tcPr>
          <w:p w:rsidR="00BA6265" w:rsidRPr="00EF51FB" w:rsidRDefault="00BA6265" w:rsidP="000262A7">
            <w:pPr>
              <w:contextualSpacing/>
              <w:jc w:val="center"/>
            </w:pPr>
            <w:r w:rsidRPr="00EF51FB">
              <w:t>26</w:t>
            </w:r>
          </w:p>
        </w:tc>
        <w:tc>
          <w:tcPr>
            <w:tcW w:w="1063" w:type="dxa"/>
            <w:noWrap/>
          </w:tcPr>
          <w:p w:rsidR="00BA6265" w:rsidRPr="00EF51FB" w:rsidRDefault="00BA6265" w:rsidP="000262A7">
            <w:pPr>
              <w:contextualSpacing/>
              <w:jc w:val="center"/>
            </w:pPr>
            <w:r w:rsidRPr="00EF51FB">
              <w:t>6</w:t>
            </w:r>
          </w:p>
        </w:tc>
        <w:tc>
          <w:tcPr>
            <w:tcW w:w="1063" w:type="dxa"/>
          </w:tcPr>
          <w:p w:rsidR="00BA6265" w:rsidRPr="00EF51FB" w:rsidRDefault="00BA6265" w:rsidP="000262A7">
            <w:pPr>
              <w:contextualSpacing/>
              <w:jc w:val="center"/>
            </w:pPr>
            <w:r w:rsidRPr="00EF51FB">
              <w:t>21</w:t>
            </w:r>
          </w:p>
        </w:tc>
        <w:tc>
          <w:tcPr>
            <w:tcW w:w="992" w:type="dxa"/>
            <w:noWrap/>
          </w:tcPr>
          <w:p w:rsidR="00BA6265" w:rsidRPr="00EF51FB" w:rsidRDefault="00BA6265" w:rsidP="000262A7">
            <w:pPr>
              <w:contextualSpacing/>
              <w:jc w:val="center"/>
            </w:pPr>
            <w:r w:rsidRPr="00EF51FB">
              <w:t>11</w:t>
            </w:r>
          </w:p>
        </w:tc>
        <w:tc>
          <w:tcPr>
            <w:tcW w:w="993" w:type="dxa"/>
          </w:tcPr>
          <w:p w:rsidR="00BA6265" w:rsidRPr="00EF51FB" w:rsidRDefault="00BA6265" w:rsidP="000262A7">
            <w:pPr>
              <w:contextualSpacing/>
              <w:jc w:val="center"/>
            </w:pPr>
            <w:r w:rsidRPr="00EF51FB">
              <w:t>23</w:t>
            </w:r>
          </w:p>
        </w:tc>
      </w:tr>
      <w:tr w:rsidR="00BA6265" w:rsidRPr="00EF51FB" w:rsidTr="00DC53ED">
        <w:tblPrEx>
          <w:tblLook w:val="01E0" w:firstRow="1" w:lastRow="1" w:firstColumn="1" w:lastColumn="1" w:noHBand="0" w:noVBand="0"/>
        </w:tblPrEx>
        <w:trPr>
          <w:trHeight w:val="409"/>
        </w:trPr>
        <w:tc>
          <w:tcPr>
            <w:tcW w:w="3255" w:type="dxa"/>
            <w:tcBorders>
              <w:bottom w:val="single" w:sz="12" w:space="0" w:color="auto"/>
            </w:tcBorders>
            <w:noWrap/>
          </w:tcPr>
          <w:p w:rsidR="00BA6265" w:rsidRPr="00EF51FB" w:rsidRDefault="00BA6265" w:rsidP="00660039">
            <w:pPr>
              <w:contextualSpacing/>
            </w:pPr>
            <w:r w:rsidRPr="00EF51FB">
              <w:t>CSOM</w:t>
            </w:r>
            <w:r w:rsidRPr="00EF51FB">
              <w:rPr>
                <w:rStyle w:val="FootnoteReference"/>
              </w:rPr>
              <w:footnoteReference w:id="8"/>
            </w:r>
          </w:p>
        </w:tc>
        <w:tc>
          <w:tcPr>
            <w:tcW w:w="921" w:type="dxa"/>
            <w:tcBorders>
              <w:bottom w:val="single" w:sz="12" w:space="0" w:color="auto"/>
            </w:tcBorders>
            <w:noWrap/>
          </w:tcPr>
          <w:p w:rsidR="00BA6265" w:rsidRPr="00EF51FB" w:rsidRDefault="00BA6265" w:rsidP="000262A7">
            <w:pPr>
              <w:contextualSpacing/>
              <w:jc w:val="center"/>
            </w:pPr>
            <w:r w:rsidRPr="00EF51FB">
              <w:t>13</w:t>
            </w:r>
          </w:p>
        </w:tc>
        <w:tc>
          <w:tcPr>
            <w:tcW w:w="922" w:type="dxa"/>
            <w:tcBorders>
              <w:bottom w:val="single" w:sz="12" w:space="0" w:color="auto"/>
            </w:tcBorders>
          </w:tcPr>
          <w:p w:rsidR="00BA6265" w:rsidRPr="00EF51FB" w:rsidRDefault="00BA6265" w:rsidP="000262A7">
            <w:pPr>
              <w:contextualSpacing/>
              <w:jc w:val="center"/>
            </w:pPr>
            <w:r w:rsidRPr="00EF51FB">
              <w:t>69</w:t>
            </w:r>
          </w:p>
        </w:tc>
        <w:tc>
          <w:tcPr>
            <w:tcW w:w="1063" w:type="dxa"/>
            <w:tcBorders>
              <w:bottom w:val="single" w:sz="12" w:space="0" w:color="auto"/>
            </w:tcBorders>
            <w:noWrap/>
          </w:tcPr>
          <w:p w:rsidR="00BA6265" w:rsidRPr="00EF51FB" w:rsidRDefault="00BA6265" w:rsidP="000262A7">
            <w:pPr>
              <w:contextualSpacing/>
              <w:jc w:val="center"/>
            </w:pPr>
            <w:r w:rsidRPr="00EF51FB">
              <w:t>19</w:t>
            </w:r>
          </w:p>
        </w:tc>
        <w:tc>
          <w:tcPr>
            <w:tcW w:w="1063" w:type="dxa"/>
            <w:tcBorders>
              <w:bottom w:val="single" w:sz="12" w:space="0" w:color="auto"/>
            </w:tcBorders>
          </w:tcPr>
          <w:p w:rsidR="00BA6265" w:rsidRPr="00EF51FB" w:rsidRDefault="00BA6265" w:rsidP="000262A7">
            <w:pPr>
              <w:contextualSpacing/>
              <w:jc w:val="center"/>
            </w:pPr>
            <w:r w:rsidRPr="00EF51FB">
              <w:t>68</w:t>
            </w:r>
          </w:p>
        </w:tc>
        <w:tc>
          <w:tcPr>
            <w:tcW w:w="992" w:type="dxa"/>
            <w:tcBorders>
              <w:bottom w:val="single" w:sz="12" w:space="0" w:color="auto"/>
            </w:tcBorders>
            <w:noWrap/>
          </w:tcPr>
          <w:p w:rsidR="00BA6265" w:rsidRPr="00EF51FB" w:rsidRDefault="00BA6265" w:rsidP="000262A7">
            <w:pPr>
              <w:contextualSpacing/>
              <w:jc w:val="center"/>
            </w:pPr>
            <w:r w:rsidRPr="00EF51FB">
              <w:t>32</w:t>
            </w:r>
          </w:p>
        </w:tc>
        <w:tc>
          <w:tcPr>
            <w:tcW w:w="993" w:type="dxa"/>
            <w:tcBorders>
              <w:bottom w:val="single" w:sz="12" w:space="0" w:color="auto"/>
            </w:tcBorders>
          </w:tcPr>
          <w:p w:rsidR="00BA6265" w:rsidRPr="00EF51FB" w:rsidRDefault="00BA6265" w:rsidP="000262A7">
            <w:pPr>
              <w:contextualSpacing/>
              <w:jc w:val="center"/>
            </w:pPr>
            <w:r w:rsidRPr="00EF51FB">
              <w:t>68</w:t>
            </w:r>
          </w:p>
        </w:tc>
      </w:tr>
      <w:tr w:rsidR="00BA6265" w:rsidRPr="00EF51FB" w:rsidTr="00DC53ED">
        <w:tblPrEx>
          <w:tblBorders>
            <w:top w:val="single" w:sz="12" w:space="0" w:color="008000"/>
            <w:bottom w:val="single" w:sz="12" w:space="0" w:color="008000"/>
          </w:tblBorders>
          <w:tblLook w:val="01E0" w:firstRow="1" w:lastRow="1" w:firstColumn="1" w:lastColumn="1" w:noHBand="0" w:noVBand="0"/>
        </w:tblPrEx>
        <w:trPr>
          <w:trHeight w:val="282"/>
        </w:trPr>
        <w:tc>
          <w:tcPr>
            <w:tcW w:w="3255" w:type="dxa"/>
            <w:tcBorders>
              <w:top w:val="single" w:sz="6" w:space="0" w:color="008000"/>
              <w:bottom w:val="single" w:sz="12" w:space="0" w:color="auto"/>
            </w:tcBorders>
            <w:noWrap/>
          </w:tcPr>
          <w:p w:rsidR="00BA6265" w:rsidRPr="00EF51FB" w:rsidRDefault="00BA6265" w:rsidP="00660039">
            <w:pPr>
              <w:contextualSpacing/>
              <w:rPr>
                <w:b/>
              </w:rPr>
            </w:pPr>
            <w:r w:rsidRPr="00EF51FB">
              <w:rPr>
                <w:b/>
              </w:rPr>
              <w:t>Totals</w:t>
            </w:r>
          </w:p>
        </w:tc>
        <w:tc>
          <w:tcPr>
            <w:tcW w:w="921" w:type="dxa"/>
            <w:tcBorders>
              <w:top w:val="single" w:sz="6" w:space="0" w:color="008000"/>
              <w:bottom w:val="single" w:sz="12" w:space="0" w:color="auto"/>
            </w:tcBorders>
            <w:noWrap/>
          </w:tcPr>
          <w:p w:rsidR="00BA6265" w:rsidRPr="00EF51FB" w:rsidRDefault="00BA6265" w:rsidP="000262A7">
            <w:pPr>
              <w:contextualSpacing/>
              <w:jc w:val="center"/>
            </w:pPr>
            <w:r w:rsidRPr="00EF51FB">
              <w:t>19</w:t>
            </w:r>
          </w:p>
        </w:tc>
        <w:tc>
          <w:tcPr>
            <w:tcW w:w="922" w:type="dxa"/>
            <w:tcBorders>
              <w:top w:val="single" w:sz="6" w:space="0" w:color="008000"/>
              <w:bottom w:val="single" w:sz="12" w:space="0" w:color="auto"/>
            </w:tcBorders>
          </w:tcPr>
          <w:p w:rsidR="00BA6265" w:rsidRPr="00EF51FB" w:rsidRDefault="00BA6265" w:rsidP="000262A7">
            <w:pPr>
              <w:contextualSpacing/>
              <w:jc w:val="center"/>
            </w:pPr>
            <w:r w:rsidRPr="00EF51FB">
              <w:t>100</w:t>
            </w:r>
          </w:p>
        </w:tc>
        <w:tc>
          <w:tcPr>
            <w:tcW w:w="1063" w:type="dxa"/>
            <w:tcBorders>
              <w:top w:val="single" w:sz="6" w:space="0" w:color="008000"/>
              <w:bottom w:val="single" w:sz="12" w:space="0" w:color="auto"/>
            </w:tcBorders>
            <w:noWrap/>
          </w:tcPr>
          <w:p w:rsidR="00BA6265" w:rsidRPr="00EF51FB" w:rsidRDefault="00BA6265" w:rsidP="000262A7">
            <w:pPr>
              <w:contextualSpacing/>
              <w:jc w:val="center"/>
            </w:pPr>
            <w:r w:rsidRPr="00EF51FB">
              <w:t>28</w:t>
            </w:r>
          </w:p>
        </w:tc>
        <w:tc>
          <w:tcPr>
            <w:tcW w:w="1063" w:type="dxa"/>
            <w:tcBorders>
              <w:top w:val="single" w:sz="6" w:space="0" w:color="008000"/>
              <w:bottom w:val="single" w:sz="12" w:space="0" w:color="auto"/>
            </w:tcBorders>
          </w:tcPr>
          <w:p w:rsidR="00BA6265" w:rsidRPr="00EF51FB" w:rsidRDefault="00BA6265" w:rsidP="000262A7">
            <w:pPr>
              <w:contextualSpacing/>
              <w:jc w:val="center"/>
            </w:pPr>
            <w:r w:rsidRPr="00EF51FB">
              <w:t>100</w:t>
            </w:r>
          </w:p>
        </w:tc>
        <w:tc>
          <w:tcPr>
            <w:tcW w:w="992" w:type="dxa"/>
            <w:tcBorders>
              <w:top w:val="single" w:sz="6" w:space="0" w:color="008000"/>
              <w:bottom w:val="single" w:sz="12" w:space="0" w:color="auto"/>
            </w:tcBorders>
            <w:noWrap/>
          </w:tcPr>
          <w:p w:rsidR="00BA6265" w:rsidRPr="00EF51FB" w:rsidRDefault="00BA6265" w:rsidP="000262A7">
            <w:pPr>
              <w:contextualSpacing/>
              <w:jc w:val="center"/>
            </w:pPr>
            <w:r w:rsidRPr="00EF51FB">
              <w:t>47</w:t>
            </w:r>
          </w:p>
        </w:tc>
        <w:tc>
          <w:tcPr>
            <w:tcW w:w="993" w:type="dxa"/>
            <w:tcBorders>
              <w:top w:val="single" w:sz="6" w:space="0" w:color="008000"/>
              <w:bottom w:val="single" w:sz="12" w:space="0" w:color="auto"/>
            </w:tcBorders>
          </w:tcPr>
          <w:p w:rsidR="00BA6265" w:rsidRPr="00EF51FB" w:rsidRDefault="00BA6265" w:rsidP="000262A7">
            <w:pPr>
              <w:contextualSpacing/>
              <w:jc w:val="center"/>
            </w:pPr>
            <w:r w:rsidRPr="00EF51FB">
              <w:t>100</w:t>
            </w:r>
          </w:p>
        </w:tc>
      </w:tr>
    </w:tbl>
    <w:p w:rsidR="00BA6265" w:rsidRDefault="00BA6265" w:rsidP="006C0B32"/>
    <w:p w:rsidR="00BA6265" w:rsidRDefault="00BA6265" w:rsidP="006C0B32">
      <w:r>
        <w:t>The</w:t>
      </w:r>
      <w:r w:rsidRPr="002055BD">
        <w:t xml:space="preserve"> average perforation size in the intervention group had increased from 20% (</w:t>
      </w:r>
      <w:r>
        <w:t xml:space="preserve">95% CI </w:t>
      </w:r>
      <w:r w:rsidRPr="002055BD">
        <w:t>15, 25) of the total eardrum at baseline to 25% (</w:t>
      </w:r>
      <w:r>
        <w:t xml:space="preserve">95% CI </w:t>
      </w:r>
      <w:r w:rsidRPr="002055BD">
        <w:t>15, 35). In the control group, the average baseline perforation size was 20% (</w:t>
      </w:r>
      <w:r>
        <w:t xml:space="preserve">95% CI </w:t>
      </w:r>
      <w:r w:rsidRPr="002055BD">
        <w:t>10, 30). At follow up it was unchanged at 20% (</w:t>
      </w:r>
      <w:r>
        <w:t xml:space="preserve">95% CI </w:t>
      </w:r>
      <w:r w:rsidRPr="002055BD">
        <w:t>1</w:t>
      </w:r>
      <w:r>
        <w:t>1</w:t>
      </w:r>
      <w:r w:rsidRPr="002055BD">
        <w:t xml:space="preserve">, </w:t>
      </w:r>
      <w:r>
        <w:t>30</w:t>
      </w:r>
      <w:r w:rsidRPr="002055BD">
        <w:t>).</w:t>
      </w:r>
      <w:r>
        <w:t xml:space="preserve"> This was not a significant difference in the change in perforation size between the two groups.</w:t>
      </w:r>
      <w:r w:rsidRPr="002055BD">
        <w:t xml:space="preserve"> </w:t>
      </w:r>
    </w:p>
    <w:p w:rsidR="00BA6265" w:rsidRDefault="00BA6265" w:rsidP="00660039">
      <w:pPr>
        <w:rPr>
          <w:b/>
        </w:rPr>
      </w:pPr>
    </w:p>
    <w:p w:rsidR="00BA6265" w:rsidRPr="00740083" w:rsidRDefault="00BA6265" w:rsidP="00740083">
      <w:pPr>
        <w:ind w:left="284" w:right="283"/>
        <w:rPr>
          <w:b/>
        </w:rPr>
      </w:pPr>
      <w:r>
        <w:rPr>
          <w:b/>
        </w:rPr>
        <w:t>Table 4</w:t>
      </w:r>
      <w:r w:rsidRPr="002055BD">
        <w:rPr>
          <w:b/>
        </w:rPr>
        <w:t xml:space="preserve">. </w:t>
      </w:r>
      <w:r w:rsidRPr="005B2D91">
        <w:t>Proportion of parents who reported being happy to receive messages in the future (n=49).</w:t>
      </w:r>
    </w:p>
    <w:p w:rsidR="00BA6265" w:rsidRDefault="00BA6265" w:rsidP="00660039">
      <w:pPr>
        <w:rPr>
          <w:color w:val="FF0000"/>
        </w:rPr>
      </w:pPr>
    </w:p>
    <w:tbl>
      <w:tblPr>
        <w:tblW w:w="9209" w:type="dxa"/>
        <w:tblInd w:w="397" w:type="dxa"/>
        <w:tblBorders>
          <w:top w:val="single" w:sz="12" w:space="0" w:color="auto"/>
          <w:bottom w:val="single" w:sz="12" w:space="0" w:color="auto"/>
        </w:tblBorders>
        <w:tblLayout w:type="fixed"/>
        <w:tblLook w:val="0060" w:firstRow="1" w:lastRow="1" w:firstColumn="0" w:lastColumn="0" w:noHBand="0" w:noVBand="0"/>
      </w:tblPr>
      <w:tblGrid>
        <w:gridCol w:w="3255"/>
        <w:gridCol w:w="921"/>
        <w:gridCol w:w="922"/>
        <w:gridCol w:w="1063"/>
        <w:gridCol w:w="1063"/>
        <w:gridCol w:w="992"/>
        <w:gridCol w:w="993"/>
      </w:tblGrid>
      <w:tr w:rsidR="00BA6265" w:rsidRPr="00EF51FB" w:rsidTr="00DC53ED">
        <w:trPr>
          <w:trHeight w:val="282"/>
        </w:trPr>
        <w:tc>
          <w:tcPr>
            <w:tcW w:w="3255" w:type="dxa"/>
            <w:tcBorders>
              <w:top w:val="single" w:sz="12" w:space="0" w:color="auto"/>
              <w:bottom w:val="single" w:sz="6" w:space="0" w:color="auto"/>
            </w:tcBorders>
            <w:noWrap/>
          </w:tcPr>
          <w:p w:rsidR="00BA6265" w:rsidRPr="00EF51FB" w:rsidRDefault="00BA6265" w:rsidP="00660039">
            <w:pPr>
              <w:contextualSpacing/>
              <w:rPr>
                <w:b/>
              </w:rPr>
            </w:pPr>
          </w:p>
        </w:tc>
        <w:tc>
          <w:tcPr>
            <w:tcW w:w="1843" w:type="dxa"/>
            <w:gridSpan w:val="2"/>
            <w:tcBorders>
              <w:top w:val="single" w:sz="12" w:space="0" w:color="auto"/>
              <w:bottom w:val="single" w:sz="6" w:space="0" w:color="auto"/>
            </w:tcBorders>
            <w:noWrap/>
          </w:tcPr>
          <w:p w:rsidR="00BA6265" w:rsidRPr="00EF51FB" w:rsidRDefault="00BA6265" w:rsidP="000262A7">
            <w:pPr>
              <w:contextualSpacing/>
              <w:jc w:val="center"/>
              <w:rPr>
                <w:b/>
              </w:rPr>
            </w:pPr>
            <w:r w:rsidRPr="00EF51FB">
              <w:rPr>
                <w:b/>
              </w:rPr>
              <w:t>Control group</w:t>
            </w:r>
          </w:p>
        </w:tc>
        <w:tc>
          <w:tcPr>
            <w:tcW w:w="2126" w:type="dxa"/>
            <w:gridSpan w:val="2"/>
            <w:tcBorders>
              <w:top w:val="single" w:sz="12" w:space="0" w:color="auto"/>
              <w:bottom w:val="single" w:sz="6" w:space="0" w:color="auto"/>
            </w:tcBorders>
          </w:tcPr>
          <w:p w:rsidR="00BA6265" w:rsidRPr="00EF51FB" w:rsidRDefault="00BA6265" w:rsidP="000262A7">
            <w:pPr>
              <w:contextualSpacing/>
              <w:jc w:val="center"/>
              <w:rPr>
                <w:b/>
              </w:rPr>
            </w:pPr>
            <w:r w:rsidRPr="00EF51FB">
              <w:rPr>
                <w:b/>
              </w:rPr>
              <w:t>Intervention group</w:t>
            </w:r>
          </w:p>
        </w:tc>
        <w:tc>
          <w:tcPr>
            <w:tcW w:w="1985" w:type="dxa"/>
            <w:gridSpan w:val="2"/>
            <w:tcBorders>
              <w:top w:val="single" w:sz="12" w:space="0" w:color="auto"/>
              <w:bottom w:val="single" w:sz="6" w:space="0" w:color="auto"/>
            </w:tcBorders>
            <w:noWrap/>
          </w:tcPr>
          <w:p w:rsidR="00BA6265" w:rsidRPr="00EF51FB" w:rsidRDefault="00BA6265" w:rsidP="000262A7">
            <w:pPr>
              <w:contextualSpacing/>
              <w:jc w:val="center"/>
              <w:rPr>
                <w:b/>
              </w:rPr>
            </w:pPr>
            <w:r w:rsidRPr="00EF51FB">
              <w:rPr>
                <w:b/>
              </w:rPr>
              <w:t>Totals</w:t>
            </w:r>
          </w:p>
        </w:tc>
      </w:tr>
      <w:tr w:rsidR="00BA6265" w:rsidRPr="00EF51FB" w:rsidTr="00DC53ED">
        <w:trPr>
          <w:trHeight w:val="387"/>
        </w:trPr>
        <w:tc>
          <w:tcPr>
            <w:tcW w:w="3255" w:type="dxa"/>
            <w:tcBorders>
              <w:top w:val="single" w:sz="6" w:space="0" w:color="auto"/>
              <w:bottom w:val="single" w:sz="12" w:space="0" w:color="auto"/>
            </w:tcBorders>
            <w:noWrap/>
          </w:tcPr>
          <w:p w:rsidR="00BA6265" w:rsidRPr="00EF51FB" w:rsidRDefault="00BA6265" w:rsidP="00660039">
            <w:pPr>
              <w:contextualSpacing/>
            </w:pPr>
          </w:p>
        </w:tc>
        <w:tc>
          <w:tcPr>
            <w:tcW w:w="921" w:type="dxa"/>
            <w:tcBorders>
              <w:top w:val="single" w:sz="6" w:space="0" w:color="auto"/>
              <w:bottom w:val="single" w:sz="12" w:space="0" w:color="auto"/>
            </w:tcBorders>
            <w:noWrap/>
          </w:tcPr>
          <w:p w:rsidR="00BA6265" w:rsidRPr="00EF51FB" w:rsidRDefault="00BA6265" w:rsidP="000262A7">
            <w:pPr>
              <w:contextualSpacing/>
              <w:jc w:val="center"/>
            </w:pPr>
            <w:r w:rsidRPr="00EF51FB">
              <w:t>No.</w:t>
            </w:r>
          </w:p>
        </w:tc>
        <w:tc>
          <w:tcPr>
            <w:tcW w:w="922" w:type="dxa"/>
            <w:tcBorders>
              <w:top w:val="single" w:sz="6" w:space="0" w:color="auto"/>
              <w:bottom w:val="single" w:sz="12" w:space="0" w:color="auto"/>
            </w:tcBorders>
          </w:tcPr>
          <w:p w:rsidR="00BA6265" w:rsidRPr="00EF51FB" w:rsidRDefault="00BA6265" w:rsidP="000262A7">
            <w:pPr>
              <w:contextualSpacing/>
              <w:jc w:val="center"/>
            </w:pPr>
            <w:r w:rsidRPr="00EF51FB">
              <w:t>%</w:t>
            </w:r>
          </w:p>
        </w:tc>
        <w:tc>
          <w:tcPr>
            <w:tcW w:w="1063" w:type="dxa"/>
            <w:tcBorders>
              <w:top w:val="single" w:sz="6" w:space="0" w:color="auto"/>
              <w:bottom w:val="single" w:sz="12" w:space="0" w:color="auto"/>
            </w:tcBorders>
          </w:tcPr>
          <w:p w:rsidR="00BA6265" w:rsidRPr="00EF51FB" w:rsidRDefault="00BA6265" w:rsidP="000262A7">
            <w:pPr>
              <w:contextualSpacing/>
              <w:jc w:val="center"/>
            </w:pPr>
            <w:r w:rsidRPr="00EF51FB">
              <w:t>No.</w:t>
            </w:r>
          </w:p>
        </w:tc>
        <w:tc>
          <w:tcPr>
            <w:tcW w:w="1063" w:type="dxa"/>
            <w:tcBorders>
              <w:top w:val="single" w:sz="6" w:space="0" w:color="auto"/>
              <w:bottom w:val="single" w:sz="12" w:space="0" w:color="auto"/>
            </w:tcBorders>
          </w:tcPr>
          <w:p w:rsidR="00BA6265" w:rsidRPr="00EF51FB" w:rsidRDefault="00BA6265" w:rsidP="000262A7">
            <w:pPr>
              <w:contextualSpacing/>
              <w:jc w:val="center"/>
            </w:pPr>
            <w:r w:rsidRPr="00EF51FB">
              <w:t>%</w:t>
            </w:r>
          </w:p>
        </w:tc>
        <w:tc>
          <w:tcPr>
            <w:tcW w:w="992" w:type="dxa"/>
            <w:tcBorders>
              <w:top w:val="single" w:sz="6" w:space="0" w:color="auto"/>
              <w:bottom w:val="single" w:sz="12" w:space="0" w:color="auto"/>
            </w:tcBorders>
            <w:noWrap/>
          </w:tcPr>
          <w:p w:rsidR="00BA6265" w:rsidRPr="00EF51FB" w:rsidRDefault="00BA6265" w:rsidP="000262A7">
            <w:pPr>
              <w:contextualSpacing/>
              <w:jc w:val="center"/>
            </w:pPr>
            <w:r w:rsidRPr="00EF51FB">
              <w:t>No.</w:t>
            </w:r>
          </w:p>
        </w:tc>
        <w:tc>
          <w:tcPr>
            <w:tcW w:w="993" w:type="dxa"/>
            <w:tcBorders>
              <w:top w:val="single" w:sz="6" w:space="0" w:color="auto"/>
              <w:bottom w:val="single" w:sz="12" w:space="0" w:color="auto"/>
            </w:tcBorders>
          </w:tcPr>
          <w:p w:rsidR="00BA6265" w:rsidRPr="00EF51FB" w:rsidRDefault="00BA6265" w:rsidP="000262A7">
            <w:pPr>
              <w:contextualSpacing/>
              <w:jc w:val="center"/>
            </w:pPr>
            <w:r w:rsidRPr="00EF51FB">
              <w:t>%</w:t>
            </w:r>
          </w:p>
        </w:tc>
      </w:tr>
      <w:tr w:rsidR="00BA6265" w:rsidRPr="00EF51FB" w:rsidTr="00DC53ED">
        <w:trPr>
          <w:trHeight w:val="601"/>
        </w:trPr>
        <w:tc>
          <w:tcPr>
            <w:tcW w:w="3255" w:type="dxa"/>
            <w:tcBorders>
              <w:top w:val="single" w:sz="12" w:space="0" w:color="auto"/>
            </w:tcBorders>
            <w:noWrap/>
          </w:tcPr>
          <w:p w:rsidR="00BA6265" w:rsidRPr="00EF51FB" w:rsidRDefault="00BA6265" w:rsidP="00660039">
            <w:pPr>
              <w:contextualSpacing/>
            </w:pPr>
            <w:r w:rsidRPr="00EF51FB">
              <w:t>Yes</w:t>
            </w:r>
          </w:p>
        </w:tc>
        <w:tc>
          <w:tcPr>
            <w:tcW w:w="921" w:type="dxa"/>
            <w:tcBorders>
              <w:top w:val="single" w:sz="12" w:space="0" w:color="auto"/>
            </w:tcBorders>
            <w:noWrap/>
          </w:tcPr>
          <w:p w:rsidR="00BA6265" w:rsidRPr="00EF51FB" w:rsidRDefault="00BA6265" w:rsidP="000262A7">
            <w:pPr>
              <w:contextualSpacing/>
              <w:jc w:val="center"/>
            </w:pPr>
            <w:r w:rsidRPr="00EF51FB">
              <w:t>16</w:t>
            </w:r>
          </w:p>
        </w:tc>
        <w:tc>
          <w:tcPr>
            <w:tcW w:w="922" w:type="dxa"/>
            <w:tcBorders>
              <w:top w:val="single" w:sz="12" w:space="0" w:color="auto"/>
            </w:tcBorders>
          </w:tcPr>
          <w:p w:rsidR="00BA6265" w:rsidRPr="00EF51FB" w:rsidRDefault="00BA6265" w:rsidP="000262A7">
            <w:pPr>
              <w:contextualSpacing/>
              <w:jc w:val="center"/>
            </w:pPr>
            <w:r w:rsidRPr="00EF51FB">
              <w:t>84</w:t>
            </w:r>
          </w:p>
        </w:tc>
        <w:tc>
          <w:tcPr>
            <w:tcW w:w="1063" w:type="dxa"/>
            <w:tcBorders>
              <w:top w:val="single" w:sz="12" w:space="0" w:color="auto"/>
            </w:tcBorders>
          </w:tcPr>
          <w:p w:rsidR="00BA6265" w:rsidRPr="00EF51FB" w:rsidRDefault="00BA6265" w:rsidP="000262A7">
            <w:pPr>
              <w:contextualSpacing/>
              <w:jc w:val="center"/>
            </w:pPr>
            <w:r w:rsidRPr="00EF51FB">
              <w:t>21</w:t>
            </w:r>
          </w:p>
        </w:tc>
        <w:tc>
          <w:tcPr>
            <w:tcW w:w="1063" w:type="dxa"/>
            <w:tcBorders>
              <w:top w:val="single" w:sz="12" w:space="0" w:color="auto"/>
            </w:tcBorders>
          </w:tcPr>
          <w:p w:rsidR="00BA6265" w:rsidRPr="00EF51FB" w:rsidRDefault="00BA6265" w:rsidP="000262A7">
            <w:pPr>
              <w:contextualSpacing/>
              <w:jc w:val="center"/>
            </w:pPr>
            <w:r w:rsidRPr="00EF51FB">
              <w:t>70</w:t>
            </w:r>
          </w:p>
        </w:tc>
        <w:tc>
          <w:tcPr>
            <w:tcW w:w="992" w:type="dxa"/>
            <w:tcBorders>
              <w:top w:val="single" w:sz="12" w:space="0" w:color="auto"/>
            </w:tcBorders>
            <w:noWrap/>
          </w:tcPr>
          <w:p w:rsidR="00BA6265" w:rsidRPr="00EF51FB" w:rsidRDefault="00BA6265" w:rsidP="000262A7">
            <w:pPr>
              <w:contextualSpacing/>
              <w:jc w:val="center"/>
            </w:pPr>
            <w:r w:rsidRPr="00EF51FB">
              <w:t>37</w:t>
            </w:r>
          </w:p>
        </w:tc>
        <w:tc>
          <w:tcPr>
            <w:tcW w:w="993" w:type="dxa"/>
            <w:tcBorders>
              <w:top w:val="single" w:sz="12" w:space="0" w:color="auto"/>
            </w:tcBorders>
          </w:tcPr>
          <w:p w:rsidR="00BA6265" w:rsidRPr="00EF51FB" w:rsidRDefault="00BA6265" w:rsidP="000262A7">
            <w:pPr>
              <w:contextualSpacing/>
              <w:jc w:val="center"/>
            </w:pPr>
            <w:r w:rsidRPr="00EF51FB">
              <w:t>76</w:t>
            </w:r>
          </w:p>
        </w:tc>
      </w:tr>
      <w:tr w:rsidR="00BA6265" w:rsidRPr="00EF51FB" w:rsidTr="00DC53ED">
        <w:tblPrEx>
          <w:tblBorders>
            <w:top w:val="single" w:sz="12" w:space="0" w:color="008000"/>
            <w:bottom w:val="single" w:sz="12" w:space="0" w:color="008000"/>
          </w:tblBorders>
          <w:tblLook w:val="01E0" w:firstRow="1" w:lastRow="1" w:firstColumn="1" w:lastColumn="1" w:noHBand="0" w:noVBand="0"/>
        </w:tblPrEx>
        <w:trPr>
          <w:trHeight w:val="282"/>
        </w:trPr>
        <w:tc>
          <w:tcPr>
            <w:tcW w:w="3255" w:type="dxa"/>
            <w:noWrap/>
          </w:tcPr>
          <w:p w:rsidR="00BA6265" w:rsidRPr="00EF51FB" w:rsidRDefault="00BA6265" w:rsidP="00660039">
            <w:pPr>
              <w:contextualSpacing/>
            </w:pPr>
            <w:r w:rsidRPr="00EF51FB">
              <w:t>No</w:t>
            </w:r>
          </w:p>
        </w:tc>
        <w:tc>
          <w:tcPr>
            <w:tcW w:w="921" w:type="dxa"/>
            <w:noWrap/>
          </w:tcPr>
          <w:p w:rsidR="00BA6265" w:rsidRPr="00EF51FB" w:rsidRDefault="00BA6265" w:rsidP="000262A7">
            <w:pPr>
              <w:contextualSpacing/>
              <w:jc w:val="center"/>
            </w:pPr>
            <w:r w:rsidRPr="00EF51FB">
              <w:t>2</w:t>
            </w:r>
          </w:p>
        </w:tc>
        <w:tc>
          <w:tcPr>
            <w:tcW w:w="922" w:type="dxa"/>
          </w:tcPr>
          <w:p w:rsidR="00BA6265" w:rsidRPr="00EF51FB" w:rsidRDefault="00BA6265" w:rsidP="000262A7">
            <w:pPr>
              <w:contextualSpacing/>
              <w:jc w:val="center"/>
            </w:pPr>
            <w:r w:rsidRPr="00EF51FB">
              <w:t>11</w:t>
            </w:r>
          </w:p>
        </w:tc>
        <w:tc>
          <w:tcPr>
            <w:tcW w:w="1063" w:type="dxa"/>
            <w:noWrap/>
          </w:tcPr>
          <w:p w:rsidR="00BA6265" w:rsidRPr="00EF51FB" w:rsidRDefault="00BA6265" w:rsidP="000262A7">
            <w:pPr>
              <w:contextualSpacing/>
              <w:jc w:val="center"/>
            </w:pPr>
            <w:r w:rsidRPr="00EF51FB">
              <w:t>3</w:t>
            </w:r>
          </w:p>
        </w:tc>
        <w:tc>
          <w:tcPr>
            <w:tcW w:w="1063" w:type="dxa"/>
          </w:tcPr>
          <w:p w:rsidR="00BA6265" w:rsidRPr="00EF51FB" w:rsidRDefault="00BA6265" w:rsidP="000262A7">
            <w:pPr>
              <w:contextualSpacing/>
              <w:jc w:val="center"/>
            </w:pPr>
            <w:r w:rsidRPr="00EF51FB">
              <w:t>10</w:t>
            </w:r>
          </w:p>
        </w:tc>
        <w:tc>
          <w:tcPr>
            <w:tcW w:w="992" w:type="dxa"/>
            <w:noWrap/>
          </w:tcPr>
          <w:p w:rsidR="00BA6265" w:rsidRPr="00EF51FB" w:rsidRDefault="00BA6265" w:rsidP="000262A7">
            <w:pPr>
              <w:contextualSpacing/>
              <w:jc w:val="center"/>
            </w:pPr>
            <w:r w:rsidRPr="00EF51FB">
              <w:t>5</w:t>
            </w:r>
          </w:p>
        </w:tc>
        <w:tc>
          <w:tcPr>
            <w:tcW w:w="993" w:type="dxa"/>
          </w:tcPr>
          <w:p w:rsidR="00BA6265" w:rsidRPr="00EF51FB" w:rsidRDefault="00BA6265" w:rsidP="000262A7">
            <w:pPr>
              <w:contextualSpacing/>
              <w:jc w:val="center"/>
            </w:pPr>
            <w:r w:rsidRPr="00EF51FB">
              <w:t>10</w:t>
            </w:r>
          </w:p>
        </w:tc>
      </w:tr>
      <w:tr w:rsidR="00BA6265" w:rsidRPr="00EF51FB" w:rsidTr="00DC53ED">
        <w:tblPrEx>
          <w:tblBorders>
            <w:top w:val="single" w:sz="12" w:space="0" w:color="008000"/>
            <w:bottom w:val="single" w:sz="12" w:space="0" w:color="008000"/>
          </w:tblBorders>
          <w:tblLook w:val="01E0" w:firstRow="1" w:lastRow="1" w:firstColumn="1" w:lastColumn="1" w:noHBand="0" w:noVBand="0"/>
        </w:tblPrEx>
        <w:trPr>
          <w:trHeight w:val="282"/>
        </w:trPr>
        <w:tc>
          <w:tcPr>
            <w:tcW w:w="3255" w:type="dxa"/>
            <w:tcBorders>
              <w:bottom w:val="single" w:sz="12" w:space="0" w:color="auto"/>
            </w:tcBorders>
            <w:noWrap/>
          </w:tcPr>
          <w:p w:rsidR="00BA6265" w:rsidRPr="00EF51FB" w:rsidRDefault="00BA6265" w:rsidP="00660039">
            <w:pPr>
              <w:contextualSpacing/>
            </w:pPr>
            <w:r w:rsidRPr="00EF51FB">
              <w:t>Not sure</w:t>
            </w:r>
          </w:p>
        </w:tc>
        <w:tc>
          <w:tcPr>
            <w:tcW w:w="921" w:type="dxa"/>
            <w:tcBorders>
              <w:bottom w:val="single" w:sz="12" w:space="0" w:color="auto"/>
            </w:tcBorders>
            <w:noWrap/>
          </w:tcPr>
          <w:p w:rsidR="00BA6265" w:rsidRPr="00EF51FB" w:rsidRDefault="00BA6265" w:rsidP="000262A7">
            <w:pPr>
              <w:contextualSpacing/>
              <w:jc w:val="center"/>
            </w:pPr>
            <w:r w:rsidRPr="00EF51FB">
              <w:t>1</w:t>
            </w:r>
          </w:p>
        </w:tc>
        <w:tc>
          <w:tcPr>
            <w:tcW w:w="922" w:type="dxa"/>
            <w:tcBorders>
              <w:bottom w:val="single" w:sz="12" w:space="0" w:color="auto"/>
            </w:tcBorders>
          </w:tcPr>
          <w:p w:rsidR="00BA6265" w:rsidRPr="00EF51FB" w:rsidRDefault="00BA6265" w:rsidP="000262A7">
            <w:pPr>
              <w:contextualSpacing/>
              <w:jc w:val="center"/>
            </w:pPr>
            <w:r w:rsidRPr="00EF51FB">
              <w:t>5</w:t>
            </w:r>
          </w:p>
        </w:tc>
        <w:tc>
          <w:tcPr>
            <w:tcW w:w="1063" w:type="dxa"/>
            <w:tcBorders>
              <w:bottom w:val="single" w:sz="12" w:space="0" w:color="auto"/>
            </w:tcBorders>
            <w:noWrap/>
          </w:tcPr>
          <w:p w:rsidR="00BA6265" w:rsidRPr="00EF51FB" w:rsidRDefault="00BA6265" w:rsidP="000262A7">
            <w:pPr>
              <w:contextualSpacing/>
              <w:jc w:val="center"/>
            </w:pPr>
            <w:r w:rsidRPr="00EF51FB">
              <w:t>6</w:t>
            </w:r>
          </w:p>
        </w:tc>
        <w:tc>
          <w:tcPr>
            <w:tcW w:w="1063" w:type="dxa"/>
            <w:tcBorders>
              <w:bottom w:val="single" w:sz="12" w:space="0" w:color="auto"/>
            </w:tcBorders>
          </w:tcPr>
          <w:p w:rsidR="00BA6265" w:rsidRPr="00EF51FB" w:rsidRDefault="00BA6265" w:rsidP="000262A7">
            <w:pPr>
              <w:contextualSpacing/>
              <w:jc w:val="center"/>
            </w:pPr>
            <w:r w:rsidRPr="00EF51FB">
              <w:t>20</w:t>
            </w:r>
          </w:p>
        </w:tc>
        <w:tc>
          <w:tcPr>
            <w:tcW w:w="992" w:type="dxa"/>
            <w:tcBorders>
              <w:bottom w:val="single" w:sz="12" w:space="0" w:color="auto"/>
            </w:tcBorders>
            <w:noWrap/>
          </w:tcPr>
          <w:p w:rsidR="00BA6265" w:rsidRPr="00EF51FB" w:rsidRDefault="00BA6265" w:rsidP="000262A7">
            <w:pPr>
              <w:contextualSpacing/>
              <w:jc w:val="center"/>
            </w:pPr>
            <w:r w:rsidRPr="00EF51FB">
              <w:t>7</w:t>
            </w:r>
          </w:p>
        </w:tc>
        <w:tc>
          <w:tcPr>
            <w:tcW w:w="993" w:type="dxa"/>
            <w:tcBorders>
              <w:bottom w:val="single" w:sz="12" w:space="0" w:color="auto"/>
            </w:tcBorders>
          </w:tcPr>
          <w:p w:rsidR="00BA6265" w:rsidRPr="00EF51FB" w:rsidRDefault="00BA6265" w:rsidP="000262A7">
            <w:pPr>
              <w:contextualSpacing/>
              <w:jc w:val="center"/>
            </w:pPr>
            <w:r w:rsidRPr="00EF51FB">
              <w:t>14</w:t>
            </w:r>
          </w:p>
        </w:tc>
      </w:tr>
      <w:tr w:rsidR="00BA6265" w:rsidRPr="00EF51FB" w:rsidTr="00DC53ED">
        <w:tblPrEx>
          <w:tblBorders>
            <w:top w:val="single" w:sz="12" w:space="0" w:color="008000"/>
            <w:bottom w:val="single" w:sz="12" w:space="0" w:color="008000"/>
          </w:tblBorders>
          <w:tblLook w:val="01E0" w:firstRow="1" w:lastRow="1" w:firstColumn="1" w:lastColumn="1" w:noHBand="0" w:noVBand="0"/>
        </w:tblPrEx>
        <w:trPr>
          <w:trHeight w:val="282"/>
        </w:trPr>
        <w:tc>
          <w:tcPr>
            <w:tcW w:w="3255" w:type="dxa"/>
            <w:tcBorders>
              <w:top w:val="single" w:sz="12" w:space="0" w:color="auto"/>
              <w:bottom w:val="single" w:sz="12" w:space="0" w:color="auto"/>
            </w:tcBorders>
            <w:noWrap/>
          </w:tcPr>
          <w:p w:rsidR="00BA6265" w:rsidRPr="00EF51FB" w:rsidRDefault="00BA6265" w:rsidP="00660039">
            <w:pPr>
              <w:contextualSpacing/>
              <w:rPr>
                <w:b/>
              </w:rPr>
            </w:pPr>
            <w:r w:rsidRPr="00EF51FB">
              <w:rPr>
                <w:b/>
              </w:rPr>
              <w:t>Totals</w:t>
            </w:r>
          </w:p>
        </w:tc>
        <w:tc>
          <w:tcPr>
            <w:tcW w:w="921" w:type="dxa"/>
            <w:tcBorders>
              <w:top w:val="single" w:sz="12" w:space="0" w:color="auto"/>
              <w:bottom w:val="single" w:sz="12" w:space="0" w:color="auto"/>
            </w:tcBorders>
            <w:noWrap/>
          </w:tcPr>
          <w:p w:rsidR="00BA6265" w:rsidRPr="00EF51FB" w:rsidRDefault="00BA6265" w:rsidP="000262A7">
            <w:pPr>
              <w:contextualSpacing/>
              <w:jc w:val="center"/>
            </w:pPr>
            <w:r w:rsidRPr="00EF51FB">
              <w:t>19</w:t>
            </w:r>
          </w:p>
        </w:tc>
        <w:tc>
          <w:tcPr>
            <w:tcW w:w="922" w:type="dxa"/>
            <w:tcBorders>
              <w:top w:val="single" w:sz="12" w:space="0" w:color="auto"/>
              <w:bottom w:val="single" w:sz="12" w:space="0" w:color="auto"/>
            </w:tcBorders>
          </w:tcPr>
          <w:p w:rsidR="00BA6265" w:rsidRPr="00EF51FB" w:rsidRDefault="00BA6265" w:rsidP="000262A7">
            <w:pPr>
              <w:contextualSpacing/>
              <w:jc w:val="center"/>
            </w:pPr>
            <w:r w:rsidRPr="00EF51FB">
              <w:t>100</w:t>
            </w:r>
          </w:p>
        </w:tc>
        <w:tc>
          <w:tcPr>
            <w:tcW w:w="1063" w:type="dxa"/>
            <w:tcBorders>
              <w:top w:val="single" w:sz="12" w:space="0" w:color="auto"/>
              <w:bottom w:val="single" w:sz="12" w:space="0" w:color="auto"/>
            </w:tcBorders>
            <w:noWrap/>
          </w:tcPr>
          <w:p w:rsidR="00BA6265" w:rsidRPr="00EF51FB" w:rsidRDefault="00BA6265" w:rsidP="000262A7">
            <w:pPr>
              <w:contextualSpacing/>
              <w:jc w:val="center"/>
            </w:pPr>
            <w:r w:rsidRPr="00EF51FB">
              <w:t>30</w:t>
            </w:r>
          </w:p>
        </w:tc>
        <w:tc>
          <w:tcPr>
            <w:tcW w:w="1063" w:type="dxa"/>
            <w:tcBorders>
              <w:top w:val="single" w:sz="12" w:space="0" w:color="auto"/>
              <w:bottom w:val="single" w:sz="12" w:space="0" w:color="auto"/>
            </w:tcBorders>
          </w:tcPr>
          <w:p w:rsidR="00BA6265" w:rsidRPr="00EF51FB" w:rsidRDefault="00BA6265" w:rsidP="000262A7">
            <w:pPr>
              <w:contextualSpacing/>
              <w:jc w:val="center"/>
            </w:pPr>
            <w:r w:rsidRPr="00EF51FB">
              <w:t>100</w:t>
            </w:r>
          </w:p>
        </w:tc>
        <w:tc>
          <w:tcPr>
            <w:tcW w:w="992" w:type="dxa"/>
            <w:tcBorders>
              <w:top w:val="single" w:sz="12" w:space="0" w:color="auto"/>
              <w:bottom w:val="single" w:sz="12" w:space="0" w:color="auto"/>
            </w:tcBorders>
            <w:noWrap/>
          </w:tcPr>
          <w:p w:rsidR="00BA6265" w:rsidRPr="00EF51FB" w:rsidRDefault="00BA6265" w:rsidP="000262A7">
            <w:pPr>
              <w:contextualSpacing/>
              <w:jc w:val="center"/>
            </w:pPr>
            <w:r w:rsidRPr="00EF51FB">
              <w:t>49</w:t>
            </w:r>
          </w:p>
        </w:tc>
        <w:tc>
          <w:tcPr>
            <w:tcW w:w="993" w:type="dxa"/>
            <w:tcBorders>
              <w:top w:val="single" w:sz="12" w:space="0" w:color="auto"/>
              <w:bottom w:val="single" w:sz="12" w:space="0" w:color="auto"/>
            </w:tcBorders>
          </w:tcPr>
          <w:p w:rsidR="00BA6265" w:rsidRPr="00EF51FB" w:rsidRDefault="00BA6265" w:rsidP="000262A7">
            <w:pPr>
              <w:contextualSpacing/>
              <w:jc w:val="center"/>
            </w:pPr>
            <w:r w:rsidRPr="00EF51FB">
              <w:t>100</w:t>
            </w:r>
          </w:p>
        </w:tc>
      </w:tr>
    </w:tbl>
    <w:p w:rsidR="00BA6265" w:rsidRDefault="00BA6265" w:rsidP="00660039"/>
    <w:p w:rsidR="00BA6265" w:rsidRDefault="00BA6265" w:rsidP="00FC18C9">
      <w:pPr>
        <w:pStyle w:val="Heading7"/>
        <w:numPr>
          <w:ilvl w:val="0"/>
          <w:numId w:val="18"/>
        </w:numPr>
      </w:pPr>
      <w:r w:rsidRPr="002055BD">
        <w:t>Participant views on mobile phone messaging in healthcare</w:t>
      </w:r>
    </w:p>
    <w:p w:rsidR="00BA6265" w:rsidRDefault="00BA6265" w:rsidP="00030469">
      <w:pPr>
        <w:contextualSpacing/>
      </w:pPr>
      <w:r w:rsidRPr="00AD1565">
        <w:rPr>
          <w:color w:val="000000"/>
          <w:lang w:eastAsia="en-US"/>
        </w:rPr>
        <w:t>We had follow up interviews with 49 (92%) participants</w:t>
      </w:r>
      <w:r>
        <w:rPr>
          <w:color w:val="000000"/>
          <w:lang w:eastAsia="en-US"/>
        </w:rPr>
        <w:t xml:space="preserve">, of which </w:t>
      </w:r>
      <w:r w:rsidRPr="00AD1565">
        <w:rPr>
          <w:color w:val="000000"/>
          <w:lang w:eastAsia="en-US"/>
        </w:rPr>
        <w:t xml:space="preserve">19 </w:t>
      </w:r>
      <w:r>
        <w:rPr>
          <w:color w:val="000000"/>
          <w:lang w:eastAsia="en-US"/>
        </w:rPr>
        <w:t xml:space="preserve">were </w:t>
      </w:r>
      <w:r w:rsidRPr="00AD1565">
        <w:rPr>
          <w:color w:val="000000"/>
          <w:lang w:eastAsia="en-US"/>
        </w:rPr>
        <w:t>in the control group</w:t>
      </w:r>
      <w:r>
        <w:rPr>
          <w:color w:val="000000"/>
          <w:lang w:eastAsia="en-US"/>
        </w:rPr>
        <w:t xml:space="preserve"> </w:t>
      </w:r>
      <w:r w:rsidRPr="00EB6BF5">
        <w:rPr>
          <w:color w:val="000000"/>
          <w:lang w:eastAsia="en-US"/>
        </w:rPr>
        <w:t>(83%</w:t>
      </w:r>
      <w:r>
        <w:rPr>
          <w:color w:val="000000"/>
          <w:lang w:eastAsia="en-US"/>
        </w:rPr>
        <w:t xml:space="preserve"> of original participants</w:t>
      </w:r>
      <w:r w:rsidRPr="00EB6BF5">
        <w:rPr>
          <w:color w:val="000000"/>
          <w:lang w:eastAsia="en-US"/>
        </w:rPr>
        <w:t>)</w:t>
      </w:r>
      <w:r w:rsidRPr="00AD1565">
        <w:rPr>
          <w:color w:val="000000"/>
          <w:lang w:eastAsia="en-US"/>
        </w:rPr>
        <w:t xml:space="preserve"> and 30 (100%</w:t>
      </w:r>
      <w:r>
        <w:rPr>
          <w:color w:val="000000"/>
          <w:lang w:eastAsia="en-US"/>
        </w:rPr>
        <w:t xml:space="preserve"> of original participants</w:t>
      </w:r>
      <w:r w:rsidRPr="00AD1565">
        <w:rPr>
          <w:color w:val="000000"/>
          <w:lang w:eastAsia="en-US"/>
        </w:rPr>
        <w:t xml:space="preserve">) </w:t>
      </w:r>
      <w:r>
        <w:rPr>
          <w:color w:val="000000"/>
          <w:lang w:eastAsia="en-US"/>
        </w:rPr>
        <w:t xml:space="preserve">were </w:t>
      </w:r>
      <w:r w:rsidRPr="00AD1565">
        <w:rPr>
          <w:color w:val="000000"/>
          <w:lang w:eastAsia="en-US"/>
        </w:rPr>
        <w:t xml:space="preserve">in the intervention group. </w:t>
      </w:r>
      <w:r>
        <w:t>Thirty-seven</w:t>
      </w:r>
      <w:r w:rsidRPr="00AD1565">
        <w:t xml:space="preserve"> (76%) </w:t>
      </w:r>
      <w:r>
        <w:t xml:space="preserve">of all </w:t>
      </w:r>
      <w:r w:rsidRPr="00AD1565">
        <w:t xml:space="preserve">participants said they were happy to receive health messages in the future (Table </w:t>
      </w:r>
      <w:r>
        <w:t>4)</w:t>
      </w:r>
      <w:r w:rsidRPr="00AD1565">
        <w:t xml:space="preserve">. </w:t>
      </w:r>
      <w:r>
        <w:t xml:space="preserve">This </w:t>
      </w:r>
      <w:r w:rsidRPr="00AD1565">
        <w:t>did not vary significantly between the control and intervention groups (</w:t>
      </w:r>
      <w:r w:rsidRPr="00FE0ED4">
        <w:t>84% versus 70%</w:t>
      </w:r>
      <w:r w:rsidRPr="00AD1565">
        <w:t>). On the morning of the follow-up interviews</w:t>
      </w:r>
      <w:r>
        <w:t>,</w:t>
      </w:r>
      <w:r w:rsidRPr="00AD1565">
        <w:t xml:space="preserve"> we sent </w:t>
      </w:r>
      <w:r>
        <w:t xml:space="preserve">a </w:t>
      </w:r>
      <w:r w:rsidRPr="00AD1565">
        <w:t>plain text message in English to all participants</w:t>
      </w:r>
      <w:r>
        <w:t xml:space="preserve"> </w:t>
      </w:r>
      <w:r>
        <w:lastRenderedPageBreak/>
        <w:t xml:space="preserve">stating that we were </w:t>
      </w:r>
      <w:r w:rsidRPr="00AD1565">
        <w:t>in the community clinic for the follow</w:t>
      </w:r>
      <w:r>
        <w:t xml:space="preserve"> </w:t>
      </w:r>
      <w:r w:rsidRPr="00AD1565">
        <w:t>up interviews and would attempt to make contact with them over the next few days. Nine participants</w:t>
      </w:r>
      <w:r>
        <w:t xml:space="preserve"> </w:t>
      </w:r>
      <w:r w:rsidRPr="00AD1565">
        <w:t xml:space="preserve">(17%) presented to the clinic </w:t>
      </w:r>
      <w:r>
        <w:t xml:space="preserve">on the day they received </w:t>
      </w:r>
      <w:r w:rsidRPr="00AD1565">
        <w:t>this text message. Feedback provided from three participants was that they would prefer simple text messages with a specific appointment time.</w:t>
      </w:r>
    </w:p>
    <w:p w:rsidR="00BA6265" w:rsidRDefault="00BA6265" w:rsidP="00FC18C9">
      <w:pPr>
        <w:pStyle w:val="Heading5"/>
        <w:pBdr>
          <w:top w:val="none" w:sz="0" w:space="0" w:color="auto"/>
          <w:left w:val="none" w:sz="0" w:space="0" w:color="auto"/>
          <w:bottom w:val="none" w:sz="0" w:space="0" w:color="auto"/>
          <w:right w:val="none" w:sz="0" w:space="0" w:color="auto"/>
        </w:pBdr>
        <w:rPr>
          <w:color w:val="365F91"/>
        </w:rPr>
      </w:pPr>
      <w:r w:rsidRPr="00AD1565">
        <w:t>DISCUSSION</w:t>
      </w:r>
    </w:p>
    <w:p w:rsidR="00BA6265" w:rsidRDefault="00BA6265" w:rsidP="00660039">
      <w:pPr>
        <w:contextualSpacing/>
        <w:rPr>
          <w:color w:val="000000"/>
          <w:lang w:eastAsia="en-US"/>
        </w:rPr>
      </w:pPr>
      <w:r w:rsidRPr="002055BD">
        <w:rPr>
          <w:color w:val="000000"/>
          <w:lang w:eastAsia="en-US"/>
        </w:rPr>
        <w:t>This pilot randomised controlled trial did not identify significant differences in the attendance rates or ear health outcomes resulting from regular MMS</w:t>
      </w:r>
      <w:r>
        <w:rPr>
          <w:color w:val="000000"/>
          <w:lang w:eastAsia="en-US"/>
        </w:rPr>
        <w:t xml:space="preserve"> and text messages</w:t>
      </w:r>
      <w:r w:rsidRPr="002055BD">
        <w:rPr>
          <w:color w:val="000000"/>
          <w:lang w:eastAsia="en-US"/>
        </w:rPr>
        <w:t>. However</w:t>
      </w:r>
      <w:r>
        <w:rPr>
          <w:color w:val="000000"/>
          <w:lang w:eastAsia="en-US"/>
        </w:rPr>
        <w:t>,</w:t>
      </w:r>
      <w:r w:rsidRPr="002055BD">
        <w:rPr>
          <w:color w:val="000000"/>
          <w:lang w:eastAsia="en-US"/>
        </w:rPr>
        <w:t xml:space="preserve"> </w:t>
      </w:r>
      <w:r>
        <w:rPr>
          <w:color w:val="000000"/>
          <w:lang w:eastAsia="en-US"/>
        </w:rPr>
        <w:t>we were able to confirm the acceptability of mobile phone based interventions</w:t>
      </w:r>
      <w:r w:rsidRPr="002055BD">
        <w:rPr>
          <w:color w:val="000000"/>
          <w:lang w:eastAsia="en-US"/>
        </w:rPr>
        <w:t xml:space="preserve"> to promote health outcomes in these settings.</w:t>
      </w:r>
    </w:p>
    <w:p w:rsidR="00BA6265" w:rsidRDefault="00BA6265" w:rsidP="00FC18C9">
      <w:pPr>
        <w:pStyle w:val="Heading6"/>
        <w:rPr>
          <w:lang w:eastAsia="en-US"/>
        </w:rPr>
      </w:pPr>
      <w:r w:rsidRPr="002055BD">
        <w:rPr>
          <w:lang w:eastAsia="en-US"/>
        </w:rPr>
        <w:t>Strengths</w:t>
      </w:r>
    </w:p>
    <w:p w:rsidR="00BA6265" w:rsidRDefault="00BA6265" w:rsidP="00660039">
      <w:pPr>
        <w:contextualSpacing/>
        <w:rPr>
          <w:color w:val="000000"/>
          <w:lang w:eastAsia="en-US"/>
        </w:rPr>
      </w:pPr>
      <w:r w:rsidRPr="002055BD">
        <w:rPr>
          <w:color w:val="000000"/>
          <w:lang w:eastAsia="en-US"/>
        </w:rPr>
        <w:t xml:space="preserve">The style, design and interpretation of messages were determined in consultation with local Indigenous teachers and interpreters. The decision to use </w:t>
      </w:r>
      <w:r>
        <w:rPr>
          <w:color w:val="000000"/>
          <w:lang w:eastAsia="en-US"/>
        </w:rPr>
        <w:t>MMS</w:t>
      </w:r>
      <w:r w:rsidRPr="002055BD">
        <w:rPr>
          <w:color w:val="000000"/>
          <w:lang w:eastAsia="en-US"/>
        </w:rPr>
        <w:t xml:space="preserve"> rather than text alone was based on local advice</w:t>
      </w:r>
      <w:r>
        <w:rPr>
          <w:color w:val="000000"/>
          <w:lang w:eastAsia="en-US"/>
        </w:rPr>
        <w:t xml:space="preserve"> that MMS</w:t>
      </w:r>
      <w:r w:rsidRPr="002055BD">
        <w:rPr>
          <w:color w:val="000000"/>
          <w:lang w:eastAsia="en-US"/>
        </w:rPr>
        <w:t xml:space="preserve"> w</w:t>
      </w:r>
      <w:r>
        <w:rPr>
          <w:color w:val="000000"/>
          <w:lang w:eastAsia="en-US"/>
        </w:rPr>
        <w:t>ere a more interesting</w:t>
      </w:r>
      <w:r w:rsidRPr="002055BD">
        <w:rPr>
          <w:color w:val="000000"/>
          <w:lang w:eastAsia="en-US"/>
        </w:rPr>
        <w:t xml:space="preserve">, novel and potentially a more appealing method of communication than texts, and </w:t>
      </w:r>
      <w:r>
        <w:rPr>
          <w:color w:val="000000"/>
          <w:lang w:eastAsia="en-US"/>
        </w:rPr>
        <w:t xml:space="preserve">that </w:t>
      </w:r>
      <w:r w:rsidRPr="002055BD">
        <w:rPr>
          <w:color w:val="000000"/>
          <w:lang w:eastAsia="en-US"/>
        </w:rPr>
        <w:t>the videos could be shared amongst families.</w:t>
      </w:r>
    </w:p>
    <w:p w:rsidR="00BA6265" w:rsidRDefault="00BA6265" w:rsidP="00660039">
      <w:pPr>
        <w:contextualSpacing/>
        <w:rPr>
          <w:color w:val="000000"/>
          <w:lang w:eastAsia="en-US"/>
        </w:rPr>
      </w:pPr>
    </w:p>
    <w:p w:rsidR="00BA6265" w:rsidRDefault="00BA6265" w:rsidP="00660039">
      <w:pPr>
        <w:contextualSpacing/>
        <w:rPr>
          <w:color w:val="000000"/>
          <w:lang w:eastAsia="en-US"/>
        </w:rPr>
      </w:pPr>
      <w:r>
        <w:rPr>
          <w:color w:val="000000"/>
          <w:lang w:eastAsia="en-US"/>
        </w:rPr>
        <w:t>Overall, f</w:t>
      </w:r>
      <w:r w:rsidRPr="002055BD">
        <w:rPr>
          <w:color w:val="000000"/>
          <w:lang w:eastAsia="en-US"/>
        </w:rPr>
        <w:t>eedback received from participants indicated that the information provided by the messages was interesting and appreciated</w:t>
      </w:r>
      <w:r>
        <w:rPr>
          <w:color w:val="000000"/>
          <w:lang w:eastAsia="en-US"/>
        </w:rPr>
        <w:t xml:space="preserve"> and m</w:t>
      </w:r>
      <w:r w:rsidRPr="002055BD">
        <w:rPr>
          <w:color w:val="000000"/>
          <w:lang w:eastAsia="en-US"/>
        </w:rPr>
        <w:t xml:space="preserve">any </w:t>
      </w:r>
      <w:r>
        <w:rPr>
          <w:color w:val="000000"/>
          <w:lang w:eastAsia="en-US"/>
        </w:rPr>
        <w:t xml:space="preserve">did </w:t>
      </w:r>
      <w:r w:rsidRPr="002055BD">
        <w:rPr>
          <w:color w:val="000000"/>
          <w:lang w:eastAsia="en-US"/>
        </w:rPr>
        <w:t xml:space="preserve">share the videos with others. </w:t>
      </w:r>
      <w:r>
        <w:rPr>
          <w:color w:val="000000"/>
          <w:lang w:eastAsia="en-US"/>
        </w:rPr>
        <w:t>In general,</w:t>
      </w:r>
      <w:r w:rsidRPr="002055BD">
        <w:rPr>
          <w:color w:val="000000"/>
          <w:lang w:eastAsia="en-US"/>
        </w:rPr>
        <w:t xml:space="preserve"> they did not object to future messages being sent. Some participants reported that they would prefer simple text messages with a specific appointment time and date. It was interesting to note that </w:t>
      </w:r>
      <w:r>
        <w:rPr>
          <w:color w:val="000000"/>
          <w:lang w:eastAsia="en-US"/>
        </w:rPr>
        <w:t xml:space="preserve">some </w:t>
      </w:r>
      <w:r w:rsidRPr="002055BD">
        <w:rPr>
          <w:color w:val="000000"/>
          <w:lang w:eastAsia="en-US"/>
        </w:rPr>
        <w:t>presented spontaneously for the follow</w:t>
      </w:r>
      <w:r>
        <w:rPr>
          <w:color w:val="000000"/>
          <w:lang w:eastAsia="en-US"/>
        </w:rPr>
        <w:t xml:space="preserve"> </w:t>
      </w:r>
      <w:r w:rsidRPr="002055BD">
        <w:rPr>
          <w:color w:val="000000"/>
          <w:lang w:eastAsia="en-US"/>
        </w:rPr>
        <w:t>up examination after receiving a simple text message. Our video messages may have been unclear or confusing and simple text messages may be more effective.</w:t>
      </w:r>
    </w:p>
    <w:p w:rsidR="00BA6265" w:rsidRDefault="00BA6265" w:rsidP="00FC18C9">
      <w:pPr>
        <w:pStyle w:val="Heading6"/>
        <w:rPr>
          <w:lang w:eastAsia="en-US"/>
        </w:rPr>
      </w:pPr>
      <w:r w:rsidRPr="002055BD">
        <w:rPr>
          <w:lang w:eastAsia="en-US"/>
        </w:rPr>
        <w:t>Weaknesses</w:t>
      </w:r>
    </w:p>
    <w:p w:rsidR="00B25816" w:rsidRDefault="00BA6265" w:rsidP="00B25816">
      <w:pPr>
        <w:spacing w:after="360"/>
        <w:contextualSpacing/>
        <w:rPr>
          <w:color w:val="000000"/>
          <w:lang w:eastAsia="en-US"/>
        </w:rPr>
      </w:pPr>
      <w:r w:rsidRPr="002055BD">
        <w:rPr>
          <w:color w:val="000000"/>
          <w:lang w:eastAsia="en-US"/>
        </w:rPr>
        <w:t xml:space="preserve">This pilot study was not able to recruit the </w:t>
      </w:r>
      <w:r>
        <w:rPr>
          <w:color w:val="000000"/>
          <w:lang w:eastAsia="en-US"/>
        </w:rPr>
        <w:t>desired</w:t>
      </w:r>
      <w:r w:rsidRPr="002055BD">
        <w:rPr>
          <w:color w:val="000000"/>
          <w:lang w:eastAsia="en-US"/>
        </w:rPr>
        <w:t xml:space="preserve"> sample size of 90 participants. One factor that contributed to this was unrest and fighting in one of the communities before and during the study</w:t>
      </w:r>
      <w:r>
        <w:rPr>
          <w:color w:val="000000"/>
          <w:lang w:eastAsia="en-US"/>
        </w:rPr>
        <w:t xml:space="preserve">, which </w:t>
      </w:r>
      <w:r w:rsidRPr="002055BD">
        <w:rPr>
          <w:color w:val="000000"/>
          <w:lang w:eastAsia="en-US"/>
        </w:rPr>
        <w:t xml:space="preserve">restricted our time to contact and enrol families. </w:t>
      </w:r>
      <w:r>
        <w:rPr>
          <w:color w:val="000000"/>
          <w:lang w:eastAsia="en-US"/>
        </w:rPr>
        <w:t xml:space="preserve">In addition, although some </w:t>
      </w:r>
      <w:r w:rsidRPr="002055BD">
        <w:rPr>
          <w:color w:val="000000"/>
          <w:lang w:eastAsia="en-US"/>
        </w:rPr>
        <w:t xml:space="preserve">surveys </w:t>
      </w:r>
      <w:r>
        <w:rPr>
          <w:color w:val="000000"/>
          <w:lang w:eastAsia="en-US"/>
        </w:rPr>
        <w:t xml:space="preserve">have reported </w:t>
      </w:r>
      <w:r w:rsidRPr="002055BD">
        <w:rPr>
          <w:color w:val="000000"/>
          <w:lang w:eastAsia="en-US"/>
        </w:rPr>
        <w:t>that nearly every household in remote Indigenous communities own</w:t>
      </w:r>
      <w:r>
        <w:rPr>
          <w:color w:val="000000"/>
          <w:lang w:eastAsia="en-US"/>
        </w:rPr>
        <w:t>s</w:t>
      </w:r>
      <w:r w:rsidRPr="002055BD">
        <w:rPr>
          <w:color w:val="000000"/>
          <w:lang w:eastAsia="en-US"/>
        </w:rPr>
        <w:t xml:space="preserve"> a mobile phone</w:t>
      </w:r>
      <w:r>
        <w:rPr>
          <w:color w:val="000000"/>
          <w:lang w:eastAsia="en-US"/>
        </w:rPr>
        <w:t>,</w:t>
      </w:r>
      <w:r>
        <w:rPr>
          <w:color w:val="000000"/>
          <w:vertAlign w:val="superscript"/>
          <w:lang w:eastAsia="en-US"/>
        </w:rPr>
        <w:t>13,14</w:t>
      </w:r>
      <w:r w:rsidRPr="002055BD">
        <w:rPr>
          <w:color w:val="000000"/>
          <w:lang w:eastAsia="en-US"/>
        </w:rPr>
        <w:t xml:space="preserve"> </w:t>
      </w:r>
      <w:r>
        <w:rPr>
          <w:color w:val="000000"/>
          <w:lang w:eastAsia="en-US"/>
        </w:rPr>
        <w:t xml:space="preserve">in the two communities that participated in this study, </w:t>
      </w:r>
      <w:r w:rsidRPr="002055BD">
        <w:rPr>
          <w:color w:val="000000"/>
          <w:lang w:eastAsia="en-US"/>
        </w:rPr>
        <w:t xml:space="preserve">phone ownership was lower than anticipated. </w:t>
      </w:r>
      <w:r>
        <w:rPr>
          <w:color w:val="000000"/>
          <w:lang w:eastAsia="en-US"/>
        </w:rPr>
        <w:t xml:space="preserve">These issues could be resolved in a similar trial conducted over a longer period of time and involving a greater number of remote communities. We were also not able to assess if </w:t>
      </w:r>
      <w:r w:rsidRPr="002055BD">
        <w:rPr>
          <w:color w:val="000000"/>
          <w:lang w:eastAsia="en-US"/>
        </w:rPr>
        <w:t>participants did present to the clinic but did not wait to be seen</w:t>
      </w:r>
      <w:r>
        <w:rPr>
          <w:color w:val="000000"/>
          <w:lang w:eastAsia="en-US"/>
        </w:rPr>
        <w:t>. Lastly, we showed that m</w:t>
      </w:r>
      <w:r w:rsidRPr="002055BD">
        <w:rPr>
          <w:color w:val="000000"/>
          <w:lang w:eastAsia="en-US"/>
        </w:rPr>
        <w:t xml:space="preserve">essages are more likely to be seen </w:t>
      </w:r>
      <w:r>
        <w:rPr>
          <w:color w:val="000000"/>
          <w:lang w:eastAsia="en-US"/>
        </w:rPr>
        <w:t xml:space="preserve">if </w:t>
      </w:r>
      <w:r w:rsidRPr="002055BD">
        <w:rPr>
          <w:color w:val="000000"/>
          <w:lang w:eastAsia="en-US"/>
        </w:rPr>
        <w:t>it is the primary carer who own</w:t>
      </w:r>
      <w:r>
        <w:rPr>
          <w:color w:val="000000"/>
          <w:lang w:eastAsia="en-US"/>
        </w:rPr>
        <w:t>s</w:t>
      </w:r>
      <w:r w:rsidRPr="002055BD">
        <w:rPr>
          <w:color w:val="000000"/>
          <w:lang w:eastAsia="en-US"/>
        </w:rPr>
        <w:t xml:space="preserve"> the phone.</w:t>
      </w:r>
    </w:p>
    <w:p w:rsidR="00BA6265" w:rsidRDefault="00BA6265" w:rsidP="00FC18C9">
      <w:pPr>
        <w:pStyle w:val="Heading6"/>
        <w:rPr>
          <w:lang w:eastAsia="en-US"/>
        </w:rPr>
      </w:pPr>
      <w:r w:rsidRPr="002055BD">
        <w:rPr>
          <w:lang w:eastAsia="en-US"/>
        </w:rPr>
        <w:t>Recommendations for research</w:t>
      </w:r>
    </w:p>
    <w:p w:rsidR="00BA6265" w:rsidRDefault="00BA6265" w:rsidP="00660039">
      <w:pPr>
        <w:contextualSpacing/>
        <w:rPr>
          <w:color w:val="000000"/>
          <w:lang w:eastAsia="en-US"/>
        </w:rPr>
      </w:pPr>
      <w:r w:rsidRPr="002055BD">
        <w:rPr>
          <w:color w:val="000000"/>
          <w:lang w:eastAsia="en-US"/>
        </w:rPr>
        <w:t>We were not able to design our pilot study to address all the questions around the benefits or harms of mobile phones in improving health. Previous studies investigating the impact of mobile phones on behavioural change have shown significant benefits from an intervention period of between 26 and 52 weeks in low socio</w:t>
      </w:r>
      <w:r>
        <w:rPr>
          <w:color w:val="000000"/>
          <w:lang w:eastAsia="en-US"/>
        </w:rPr>
        <w:t xml:space="preserve"> </w:t>
      </w:r>
      <w:r w:rsidRPr="002055BD">
        <w:rPr>
          <w:color w:val="000000"/>
          <w:lang w:eastAsia="en-US"/>
        </w:rPr>
        <w:t>economic populations</w:t>
      </w:r>
      <w:r>
        <w:rPr>
          <w:color w:val="000000"/>
          <w:lang w:eastAsia="en-US"/>
        </w:rPr>
        <w:t>.</w:t>
      </w:r>
      <w:r w:rsidRPr="00AD1565">
        <w:rPr>
          <w:color w:val="000000"/>
          <w:vertAlign w:val="superscript"/>
          <w:lang w:eastAsia="en-US"/>
        </w:rPr>
        <w:t>12</w:t>
      </w:r>
      <w:r>
        <w:rPr>
          <w:color w:val="000000"/>
          <w:vertAlign w:val="superscript"/>
          <w:lang w:eastAsia="en-US"/>
        </w:rPr>
        <w:t>–</w:t>
      </w:r>
      <w:r w:rsidRPr="00AD1565">
        <w:rPr>
          <w:color w:val="000000"/>
          <w:vertAlign w:val="superscript"/>
          <w:lang w:eastAsia="en-US"/>
        </w:rPr>
        <w:t>16,</w:t>
      </w:r>
      <w:r>
        <w:rPr>
          <w:color w:val="000000"/>
          <w:vertAlign w:val="superscript"/>
          <w:lang w:eastAsia="en-US"/>
        </w:rPr>
        <w:t xml:space="preserve"> 20</w:t>
      </w:r>
      <w:r w:rsidRPr="002055BD">
        <w:rPr>
          <w:color w:val="000000"/>
          <w:lang w:eastAsia="en-US"/>
        </w:rPr>
        <w:t xml:space="preserve"> It is possible that short, simple text message with appointment times or treatment</w:t>
      </w:r>
      <w:r>
        <w:rPr>
          <w:color w:val="000000"/>
          <w:lang w:eastAsia="en-US"/>
        </w:rPr>
        <w:t xml:space="preserve"> </w:t>
      </w:r>
      <w:r w:rsidRPr="002055BD">
        <w:rPr>
          <w:color w:val="000000"/>
          <w:lang w:eastAsia="en-US"/>
        </w:rPr>
        <w:t>at</w:t>
      </w:r>
      <w:r>
        <w:rPr>
          <w:color w:val="000000"/>
          <w:lang w:eastAsia="en-US"/>
        </w:rPr>
        <w:t xml:space="preserve"> </w:t>
      </w:r>
      <w:r w:rsidRPr="002055BD">
        <w:rPr>
          <w:color w:val="000000"/>
          <w:lang w:eastAsia="en-US"/>
        </w:rPr>
        <w:t xml:space="preserve">home reminders would </w:t>
      </w:r>
      <w:r>
        <w:rPr>
          <w:color w:val="000000"/>
          <w:lang w:eastAsia="en-US"/>
        </w:rPr>
        <w:t xml:space="preserve">be </w:t>
      </w:r>
      <w:r w:rsidRPr="002055BD">
        <w:rPr>
          <w:color w:val="000000"/>
          <w:lang w:eastAsia="en-US"/>
        </w:rPr>
        <w:t>more effective in encouraging short term behaviour change. Alternatively, a study conducted over a longer time period</w:t>
      </w:r>
      <w:r>
        <w:rPr>
          <w:color w:val="000000"/>
          <w:lang w:eastAsia="en-US"/>
        </w:rPr>
        <w:t xml:space="preserve"> would potentially be more effective</w:t>
      </w:r>
      <w:r w:rsidRPr="002055BD">
        <w:rPr>
          <w:color w:val="000000"/>
          <w:lang w:eastAsia="en-US"/>
        </w:rPr>
        <w:t>.</w:t>
      </w:r>
    </w:p>
    <w:p w:rsidR="00BA6265" w:rsidRDefault="00BA6265" w:rsidP="00FC18C9">
      <w:pPr>
        <w:pStyle w:val="Heading6"/>
        <w:rPr>
          <w:lang w:eastAsia="en-US"/>
        </w:rPr>
      </w:pPr>
      <w:r w:rsidRPr="002055BD">
        <w:rPr>
          <w:lang w:eastAsia="en-US"/>
        </w:rPr>
        <w:t>Recommendations for clinical practi</w:t>
      </w:r>
      <w:r>
        <w:rPr>
          <w:lang w:eastAsia="en-US"/>
        </w:rPr>
        <w:t>c</w:t>
      </w:r>
      <w:r w:rsidRPr="002055BD">
        <w:rPr>
          <w:lang w:eastAsia="en-US"/>
        </w:rPr>
        <w:t>e</w:t>
      </w:r>
    </w:p>
    <w:p w:rsidR="00BA6265" w:rsidRDefault="00BA6265" w:rsidP="00660039">
      <w:pPr>
        <w:tabs>
          <w:tab w:val="left" w:pos="993"/>
        </w:tabs>
        <w:contextualSpacing/>
        <w:rPr>
          <w:color w:val="000000"/>
          <w:lang w:eastAsia="en-US"/>
        </w:rPr>
      </w:pPr>
      <w:r w:rsidRPr="002055BD">
        <w:rPr>
          <w:color w:val="000000"/>
          <w:lang w:eastAsia="en-US"/>
        </w:rPr>
        <w:t>This pilot randomised controlled trial was the first</w:t>
      </w:r>
      <w:r>
        <w:rPr>
          <w:color w:val="000000"/>
          <w:lang w:eastAsia="en-US"/>
        </w:rPr>
        <w:t xml:space="preserve"> of its kind in a remote Indigenous setting to </w:t>
      </w:r>
      <w:r w:rsidRPr="002055BD">
        <w:rPr>
          <w:color w:val="000000"/>
          <w:lang w:eastAsia="en-US"/>
        </w:rPr>
        <w:t xml:space="preserve">determine the acceptability and efficacy of using </w:t>
      </w:r>
      <w:r>
        <w:rPr>
          <w:color w:val="000000"/>
          <w:lang w:eastAsia="en-US"/>
        </w:rPr>
        <w:t>MMS</w:t>
      </w:r>
      <w:r w:rsidRPr="002055BD">
        <w:rPr>
          <w:color w:val="000000"/>
          <w:lang w:eastAsia="en-US"/>
        </w:rPr>
        <w:t xml:space="preserve"> to promote behavioural change in an Australian Indigenous population. </w:t>
      </w:r>
      <w:r>
        <w:rPr>
          <w:color w:val="000000"/>
          <w:lang w:eastAsia="en-US"/>
        </w:rPr>
        <w:t>In this small study, we were not able to document any beneficial effects.  While MMS</w:t>
      </w:r>
      <w:r w:rsidRPr="002055BD">
        <w:rPr>
          <w:color w:val="000000"/>
          <w:lang w:eastAsia="en-US"/>
        </w:rPr>
        <w:t xml:space="preserve"> offers health care providers and health promoters an accessible, acceptable and </w:t>
      </w:r>
      <w:r>
        <w:rPr>
          <w:color w:val="000000"/>
          <w:lang w:eastAsia="en-US"/>
        </w:rPr>
        <w:t xml:space="preserve">novel approach for </w:t>
      </w:r>
      <w:r w:rsidRPr="002055BD">
        <w:rPr>
          <w:color w:val="000000"/>
          <w:lang w:eastAsia="en-US"/>
        </w:rPr>
        <w:t xml:space="preserve">engaging </w:t>
      </w:r>
      <w:r>
        <w:rPr>
          <w:color w:val="000000"/>
          <w:lang w:eastAsia="en-US"/>
        </w:rPr>
        <w:t xml:space="preserve">families in remote Aboriginal communities, further research is needed to determine if it </w:t>
      </w:r>
      <w:r w:rsidRPr="002055BD">
        <w:rPr>
          <w:color w:val="000000"/>
          <w:lang w:eastAsia="en-US"/>
        </w:rPr>
        <w:t>promot</w:t>
      </w:r>
      <w:r>
        <w:rPr>
          <w:color w:val="000000"/>
          <w:lang w:eastAsia="en-US"/>
        </w:rPr>
        <w:t xml:space="preserve">es </w:t>
      </w:r>
      <w:r w:rsidRPr="002055BD">
        <w:rPr>
          <w:color w:val="000000"/>
          <w:lang w:eastAsia="en-US"/>
        </w:rPr>
        <w:t>clinic attendance</w:t>
      </w:r>
      <w:r>
        <w:rPr>
          <w:color w:val="000000"/>
          <w:lang w:eastAsia="en-US"/>
        </w:rPr>
        <w:t xml:space="preserve"> and/or improves health outcomes</w:t>
      </w:r>
      <w:r w:rsidRPr="002055BD">
        <w:rPr>
          <w:color w:val="000000"/>
          <w:lang w:eastAsia="en-US"/>
        </w:rPr>
        <w:t xml:space="preserve">.  </w:t>
      </w:r>
    </w:p>
    <w:p w:rsidR="00BA6265" w:rsidRDefault="00BA6265" w:rsidP="00FC18C9">
      <w:pPr>
        <w:pStyle w:val="Heading5"/>
      </w:pPr>
      <w:r>
        <w:rPr>
          <w:color w:val="000000"/>
          <w:lang w:eastAsia="en-US"/>
        </w:rPr>
        <w:br w:type="page"/>
      </w:r>
      <w:r w:rsidRPr="0053532F">
        <w:lastRenderedPageBreak/>
        <w:t>Project 4</w:t>
      </w:r>
      <w:r>
        <w:tab/>
        <w:t>Prevalence data of children with otitis media living in regional and remote Northern Territory (surveillance data)</w:t>
      </w:r>
    </w:p>
    <w:p w:rsidR="00BA6265" w:rsidRDefault="00BA6265" w:rsidP="00660039"/>
    <w:p w:rsidR="00BA6265" w:rsidRPr="00FC18C9" w:rsidRDefault="00BA6265" w:rsidP="00FC18C9">
      <w:pPr>
        <w:pStyle w:val="Heading6"/>
        <w:rPr>
          <w:sz w:val="28"/>
          <w:szCs w:val="28"/>
        </w:rPr>
      </w:pPr>
      <w:r w:rsidRPr="00FC18C9">
        <w:rPr>
          <w:sz w:val="28"/>
          <w:szCs w:val="28"/>
        </w:rPr>
        <w:t>Summary</w:t>
      </w:r>
    </w:p>
    <w:p w:rsidR="00BA6265" w:rsidRDefault="00BA6265" w:rsidP="00660039"/>
    <w:p w:rsidR="00BA6265" w:rsidRDefault="00BA6265" w:rsidP="00660039">
      <w:r w:rsidRPr="00FC18C9">
        <w:rPr>
          <w:rStyle w:val="Heading7Char"/>
        </w:rPr>
        <w:t>Background:</w:t>
      </w:r>
      <w:r>
        <w:t xml:space="preserve"> The most recent report of extremely high rates of otitis media (90%) and tympanic membrane perforation (24%) in Aboriginal children in the Northern Territory was published in 2006. These data were collected in 2001 by the trained research nurses from the Menzies School of Health Research using accepted definitions and recommended diagnostic tests (pneumatic </w:t>
      </w:r>
      <w:proofErr w:type="spellStart"/>
      <w:r>
        <w:t>otoscopy</w:t>
      </w:r>
      <w:proofErr w:type="spellEnd"/>
      <w:r>
        <w:t>, tympanometry and video-</w:t>
      </w:r>
      <w:proofErr w:type="spellStart"/>
      <w:r>
        <w:t>otoscopy</w:t>
      </w:r>
      <w:proofErr w:type="spellEnd"/>
      <w:r>
        <w:t>).</w:t>
      </w:r>
    </w:p>
    <w:p w:rsidR="00BA6265" w:rsidRDefault="00BA6265" w:rsidP="00660039"/>
    <w:p w:rsidR="00BA6265" w:rsidRDefault="00BA6265" w:rsidP="005522D4">
      <w:r>
        <w:t xml:space="preserve">In 2008, the Commonwealth’s </w:t>
      </w:r>
      <w:r w:rsidRPr="005522D4">
        <w:t>Emergency Response Child Health Check Initiative reported a</w:t>
      </w:r>
      <w:r>
        <w:t xml:space="preserve"> lower rate of otitis media in children (30%, n=3463) aged 0-5 years.  These data were collected by general practitioners employed on short term contracts. The definitions used for each of the diagnostic categories were not clear.  Most assessments were by simple </w:t>
      </w:r>
      <w:proofErr w:type="spellStart"/>
      <w:r>
        <w:t>otoscopy</w:t>
      </w:r>
      <w:proofErr w:type="spellEnd"/>
      <w:r>
        <w:t>.  The use of more objective diagnostic tests was not recorded.</w:t>
      </w:r>
    </w:p>
    <w:p w:rsidR="00BA6265" w:rsidRDefault="00BA6265" w:rsidP="00660039"/>
    <w:p w:rsidR="00FC18C9" w:rsidRDefault="00BA6265" w:rsidP="00FC18C9">
      <w:pPr>
        <w:spacing w:after="120"/>
      </w:pPr>
      <w:r w:rsidRPr="00FC18C9">
        <w:rPr>
          <w:rStyle w:val="Heading7Char"/>
        </w:rPr>
        <w:t>Aim:</w:t>
      </w:r>
      <w:r>
        <w:t xml:space="preserve"> </w:t>
      </w:r>
    </w:p>
    <w:p w:rsidR="00B25816" w:rsidRDefault="00BA6265" w:rsidP="00FC18C9">
      <w:pPr>
        <w:spacing w:after="240"/>
      </w:pPr>
      <w:proofErr w:type="gramStart"/>
      <w:r>
        <w:t>To update the most recent prevalence data for otitis media in children living in remote Aboriginal communities.</w:t>
      </w:r>
      <w:proofErr w:type="gramEnd"/>
    </w:p>
    <w:p w:rsidR="00FC18C9" w:rsidRDefault="00BA6265" w:rsidP="00FC18C9">
      <w:pPr>
        <w:spacing w:after="120"/>
      </w:pPr>
      <w:r w:rsidRPr="00FC18C9">
        <w:rPr>
          <w:rStyle w:val="Heading7Char"/>
        </w:rPr>
        <w:t>Findings:</w:t>
      </w:r>
      <w:r>
        <w:t xml:space="preserve"> </w:t>
      </w:r>
    </w:p>
    <w:p w:rsidR="00B25816" w:rsidRDefault="00BA6265" w:rsidP="00FC18C9">
      <w:pPr>
        <w:spacing w:after="240"/>
      </w:pPr>
      <w:proofErr w:type="gramStart"/>
      <w:r>
        <w:t>Between 2008-2010,</w:t>
      </w:r>
      <w:proofErr w:type="gramEnd"/>
      <w:r>
        <w:t xml:space="preserve"> </w:t>
      </w:r>
      <w:r w:rsidRPr="00AD58FC">
        <w:t xml:space="preserve">the Menzies School of Health </w:t>
      </w:r>
      <w:r>
        <w:t xml:space="preserve">Research </w:t>
      </w:r>
      <w:r w:rsidRPr="00AD58FC">
        <w:t>monitored otitis</w:t>
      </w:r>
      <w:r>
        <w:t xml:space="preserve"> media in children 0-5years. Following the introduction of conjugate pneumococcal vaccination, surveys of 29 communities found similar rates of otitis media (90%) to that of the 2001 findings. The data were very similar for children aged 0-30 months and 0-5 years.  In some communities, tympanic membrane perforation rates were more than 30%. Over the three year period there was no significant change in rates for all types of otitis media.  The rate of CSOM was documented to be less in 2010 although this change was not statistically significant.  Further surveillance with larger numbers of children will be required to clarify this issue.</w:t>
      </w:r>
    </w:p>
    <w:p w:rsidR="00FC18C9" w:rsidRDefault="00BA6265" w:rsidP="00FC18C9">
      <w:pPr>
        <w:spacing w:after="120"/>
      </w:pPr>
      <w:r w:rsidRPr="00FC18C9">
        <w:rPr>
          <w:rStyle w:val="Heading7Char"/>
        </w:rPr>
        <w:t>Conclusion:</w:t>
      </w:r>
      <w:r>
        <w:t xml:space="preserve"> </w:t>
      </w:r>
    </w:p>
    <w:p w:rsidR="00BA6265" w:rsidRPr="008A33A6" w:rsidRDefault="00BA6265" w:rsidP="00660039">
      <w:r>
        <w:t xml:space="preserve">Otitis media remains a significant health problem in children aged 0-5 years of age in the remote Northern Territory.  While the overall rate of otitis media is not decreasing, there is possibly a modest decrease in CSOM over time.  Further surveillance with larger numbers of children will be required to confirm this.  The difference in the overall prevalence of otitis media between previous research studies and the </w:t>
      </w:r>
      <w:r w:rsidRPr="005522D4">
        <w:t>Emergency Response Child Health Check Initiative</w:t>
      </w:r>
      <w:r>
        <w:t xml:space="preserve"> is likely to reflect different assessment methods and inclusion of children from outside remote Aboriginal communities in the Child Health Check Initiative.</w:t>
      </w:r>
    </w:p>
    <w:p w:rsidR="00BA6265" w:rsidRDefault="00BA6265" w:rsidP="00660039">
      <w:pPr>
        <w:rPr>
          <w:color w:val="000000"/>
          <w:lang w:eastAsia="en-US"/>
        </w:rPr>
      </w:pPr>
    </w:p>
    <w:p w:rsidR="00BA6265" w:rsidRPr="00DC53ED" w:rsidRDefault="00BA6265" w:rsidP="00660039">
      <w:pPr>
        <w:rPr>
          <w:b/>
          <w:color w:val="000000"/>
          <w:lang w:eastAsia="en-US"/>
        </w:rPr>
      </w:pPr>
      <w:r w:rsidRPr="00DC53ED">
        <w:rPr>
          <w:b/>
          <w:color w:val="000000"/>
          <w:lang w:eastAsia="en-US"/>
        </w:rPr>
        <w:br w:type="page"/>
      </w:r>
    </w:p>
    <w:p w:rsidR="00BA6265" w:rsidRPr="00C04C66" w:rsidRDefault="00BA6265" w:rsidP="00BC29AC">
      <w:pPr>
        <w:pStyle w:val="Heading5"/>
        <w:pBdr>
          <w:top w:val="none" w:sz="0" w:space="0" w:color="auto"/>
          <w:left w:val="none" w:sz="0" w:space="0" w:color="auto"/>
          <w:bottom w:val="none" w:sz="0" w:space="0" w:color="auto"/>
          <w:right w:val="none" w:sz="0" w:space="0" w:color="auto"/>
        </w:pBdr>
      </w:pPr>
      <w:r w:rsidRPr="00C04C66">
        <w:lastRenderedPageBreak/>
        <w:t>Background</w:t>
      </w:r>
    </w:p>
    <w:p w:rsidR="00BA6265" w:rsidRDefault="00BA6265" w:rsidP="00B3156B">
      <w:r w:rsidRPr="00DC53ED">
        <w:rPr>
          <w:color w:val="000000"/>
          <w:lang w:eastAsia="en-US"/>
        </w:rPr>
        <w:t>Otitis media is a significant health problem affecting Aboriginal children in remote Northern Territory. In 2006, Li (et al)</w:t>
      </w:r>
      <w:r w:rsidRPr="00B3156B">
        <w:rPr>
          <w:color w:val="000000"/>
          <w:vertAlign w:val="superscript"/>
          <w:lang w:eastAsia="en-US"/>
        </w:rPr>
        <w:t>1</w:t>
      </w:r>
      <w:r w:rsidRPr="00DC53ED">
        <w:rPr>
          <w:color w:val="000000"/>
          <w:lang w:eastAsia="en-US"/>
        </w:rPr>
        <w:t xml:space="preserve"> </w:t>
      </w:r>
      <w:r>
        <w:rPr>
          <w:color w:val="000000"/>
          <w:lang w:eastAsia="en-US"/>
        </w:rPr>
        <w:t xml:space="preserve">reported </w:t>
      </w:r>
      <w:r w:rsidRPr="00DC53ED">
        <w:rPr>
          <w:color w:val="000000"/>
          <w:lang w:eastAsia="en-US"/>
        </w:rPr>
        <w:t>high rates of otitis media (90%) and tympanic membrane perforation (24%) in Aboriginal chi</w:t>
      </w:r>
      <w:r>
        <w:rPr>
          <w:color w:val="000000"/>
          <w:lang w:eastAsia="en-US"/>
        </w:rPr>
        <w:t>ldren in the Northern Territory</w:t>
      </w:r>
      <w:r w:rsidRPr="00DC53ED">
        <w:rPr>
          <w:color w:val="000000"/>
          <w:lang w:eastAsia="en-US"/>
        </w:rPr>
        <w:t>.</w:t>
      </w:r>
      <w:r>
        <w:rPr>
          <w:color w:val="000000"/>
          <w:lang w:eastAsia="en-US"/>
        </w:rPr>
        <w:t xml:space="preserve">  </w:t>
      </w:r>
      <w:r>
        <w:t xml:space="preserve">These data were collected in 2001 by the trained research nurses from the Menzies School of Health research using accepted definitions and recommended diagnostic tests (pneumatic </w:t>
      </w:r>
      <w:proofErr w:type="spellStart"/>
      <w:r>
        <w:t>otoscopy</w:t>
      </w:r>
      <w:proofErr w:type="spellEnd"/>
      <w:r>
        <w:t>, tympanometry and video-</w:t>
      </w:r>
      <w:proofErr w:type="spellStart"/>
      <w:r>
        <w:t>otoscopy</w:t>
      </w:r>
      <w:proofErr w:type="spellEnd"/>
      <w:r>
        <w:t>).</w:t>
      </w:r>
    </w:p>
    <w:p w:rsidR="00BA6265" w:rsidRPr="00DC53ED" w:rsidRDefault="00BA6265" w:rsidP="00660039">
      <w:pPr>
        <w:rPr>
          <w:color w:val="000000"/>
          <w:lang w:eastAsia="en-US"/>
        </w:rPr>
      </w:pPr>
    </w:p>
    <w:p w:rsidR="00BA6265" w:rsidRDefault="00BA6265" w:rsidP="009B21BD">
      <w:r w:rsidRPr="00DC53ED">
        <w:rPr>
          <w:color w:val="000000"/>
          <w:lang w:eastAsia="en-US"/>
        </w:rPr>
        <w:t xml:space="preserve">Two years later, the </w:t>
      </w:r>
      <w:r w:rsidRPr="00B3156B">
        <w:rPr>
          <w:color w:val="000000"/>
          <w:lang w:eastAsia="en-US"/>
        </w:rPr>
        <w:t>Commonwealth’s Emergency Response Child Health Check Initiative</w:t>
      </w:r>
      <w:r>
        <w:rPr>
          <w:color w:val="000000"/>
          <w:lang w:eastAsia="en-US"/>
        </w:rPr>
        <w:t>,</w:t>
      </w:r>
      <w:r w:rsidRPr="00B3156B">
        <w:rPr>
          <w:color w:val="000000"/>
          <w:vertAlign w:val="superscript"/>
          <w:lang w:eastAsia="en-US"/>
        </w:rPr>
        <w:t>2</w:t>
      </w:r>
      <w:r w:rsidRPr="00B3156B">
        <w:rPr>
          <w:color w:val="000000"/>
          <w:lang w:eastAsia="en-US"/>
        </w:rPr>
        <w:t xml:space="preserve"> the</w:t>
      </w:r>
      <w:r w:rsidRPr="00DC53ED">
        <w:rPr>
          <w:color w:val="000000"/>
          <w:lang w:eastAsia="en-US"/>
        </w:rPr>
        <w:t xml:space="preserve"> largest survey of ear health in Aboriginal children since the 1980 National Trachoma and Eye Health Program, found otitis media rates of around 30% in children aged 0-5 years</w:t>
      </w:r>
      <w:r>
        <w:rPr>
          <w:color w:val="000000"/>
          <w:lang w:eastAsia="en-US"/>
        </w:rPr>
        <w:t xml:space="preserve"> </w:t>
      </w:r>
      <w:r w:rsidRPr="00DC53ED">
        <w:rPr>
          <w:color w:val="000000"/>
          <w:lang w:eastAsia="en-US"/>
        </w:rPr>
        <w:t>(n=3,463).</w:t>
      </w:r>
      <w:r>
        <w:rPr>
          <w:color w:val="000000"/>
          <w:lang w:eastAsia="en-US"/>
        </w:rPr>
        <w:t xml:space="preserve">  </w:t>
      </w:r>
      <w:r>
        <w:t xml:space="preserve">These data were collected by general practitioners employed on short term contracts. The definitions used for each of the diagnostic categories were not clear.  Most assessments were by simple </w:t>
      </w:r>
      <w:proofErr w:type="spellStart"/>
      <w:r>
        <w:t>otoscopy</w:t>
      </w:r>
      <w:proofErr w:type="spellEnd"/>
      <w:r>
        <w:t>.  The use of more objective diagnostic tests was not recorded.</w:t>
      </w:r>
    </w:p>
    <w:p w:rsidR="00BA6265" w:rsidRPr="00DC53ED" w:rsidRDefault="00BA6265" w:rsidP="00660039">
      <w:pPr>
        <w:rPr>
          <w:color w:val="000000"/>
          <w:lang w:eastAsia="en-US"/>
        </w:rPr>
      </w:pPr>
    </w:p>
    <w:p w:rsidR="00BA6265" w:rsidRPr="00DC53ED" w:rsidRDefault="00BA6265" w:rsidP="00660039">
      <w:pPr>
        <w:rPr>
          <w:color w:val="000000"/>
          <w:lang w:eastAsia="en-US"/>
        </w:rPr>
      </w:pPr>
      <w:r w:rsidRPr="00DC53ED">
        <w:rPr>
          <w:color w:val="000000"/>
          <w:lang w:eastAsia="en-US"/>
        </w:rPr>
        <w:t>Despite the differing rates reported of otitis media, both reports have found rates that are unacceptable.  Otitis media has profound adverse consequences on a child’s hearing, often leading to periods of hearing loss.   Periods of conductive hearing loss from otitis media may have a detrimental effect on speech development in children</w:t>
      </w:r>
      <w:r w:rsidRPr="00D82308">
        <w:rPr>
          <w:color w:val="000000"/>
          <w:vertAlign w:val="superscript"/>
          <w:lang w:eastAsia="en-US"/>
        </w:rPr>
        <w:t>3</w:t>
      </w:r>
      <w:r w:rsidRPr="00DC53ED">
        <w:rPr>
          <w:color w:val="000000"/>
          <w:lang w:eastAsia="en-US"/>
        </w:rPr>
        <w:t xml:space="preserve"> and recent studies have also linked otitis media to educational problems, attention dis</w:t>
      </w:r>
      <w:r>
        <w:rPr>
          <w:color w:val="000000"/>
          <w:lang w:eastAsia="en-US"/>
        </w:rPr>
        <w:t>orders</w:t>
      </w:r>
      <w:r w:rsidRPr="00DC53ED">
        <w:rPr>
          <w:color w:val="000000"/>
          <w:lang w:eastAsia="en-US"/>
        </w:rPr>
        <w:t xml:space="preserve"> and problems with social adaptation</w:t>
      </w:r>
      <w:r>
        <w:rPr>
          <w:color w:val="000000"/>
          <w:lang w:eastAsia="en-US"/>
        </w:rPr>
        <w:t>.</w:t>
      </w:r>
      <w:r w:rsidRPr="00D82308">
        <w:rPr>
          <w:color w:val="000000"/>
          <w:vertAlign w:val="superscript"/>
          <w:lang w:eastAsia="en-US"/>
        </w:rPr>
        <w:t>4</w:t>
      </w:r>
    </w:p>
    <w:p w:rsidR="00BA6265" w:rsidRPr="00DC53ED" w:rsidRDefault="00BA6265" w:rsidP="00660039">
      <w:pPr>
        <w:rPr>
          <w:color w:val="000000"/>
          <w:lang w:eastAsia="en-US"/>
        </w:rPr>
      </w:pPr>
    </w:p>
    <w:p w:rsidR="00963B31" w:rsidRDefault="00BA6265" w:rsidP="00963B31">
      <w:pPr>
        <w:spacing w:after="240"/>
        <w:rPr>
          <w:color w:val="000000"/>
          <w:lang w:eastAsia="en-US"/>
        </w:rPr>
      </w:pPr>
      <w:r w:rsidRPr="00DC53ED">
        <w:rPr>
          <w:color w:val="000000"/>
          <w:lang w:eastAsia="en-US"/>
        </w:rPr>
        <w:t xml:space="preserve">This project aimed to survey the rates of otitis media in children aged 0-5 years in the remote </w:t>
      </w:r>
      <w:r>
        <w:rPr>
          <w:color w:val="000000"/>
          <w:lang w:eastAsia="en-US"/>
        </w:rPr>
        <w:t xml:space="preserve">communities of the </w:t>
      </w:r>
      <w:r w:rsidRPr="00DC53ED">
        <w:rPr>
          <w:color w:val="000000"/>
          <w:lang w:eastAsia="en-US"/>
        </w:rPr>
        <w:t>Northern Territory.</w:t>
      </w:r>
      <w:r>
        <w:rPr>
          <w:color w:val="000000"/>
          <w:lang w:eastAsia="en-US"/>
        </w:rPr>
        <w:t xml:space="preserve">  Comparisons would be made with the previous research data and the data from the Emergency Response Child Health Checks.  This recent surveillance data will be used to inform service delivery and research priorities.  While both the Menzies data and the Emergency Response data were consistent with high rates of otitis media, different management strategies would be appropriate if there had been a dramatic decrease in rates of disease.</w:t>
      </w:r>
    </w:p>
    <w:p w:rsidR="00BA6265" w:rsidRPr="00C04C66" w:rsidRDefault="00BA6265" w:rsidP="00BC29AC">
      <w:pPr>
        <w:pStyle w:val="Heading6"/>
      </w:pPr>
      <w:r w:rsidRPr="00C04C66">
        <w:t>Methods</w:t>
      </w:r>
    </w:p>
    <w:p w:rsidR="00BA6265" w:rsidRDefault="00BA6265" w:rsidP="00660039">
      <w:pPr>
        <w:rPr>
          <w:color w:val="000000"/>
          <w:lang w:eastAsia="en-US"/>
        </w:rPr>
      </w:pPr>
      <w:r w:rsidRPr="00B3156B">
        <w:rPr>
          <w:color w:val="000000"/>
          <w:lang w:eastAsia="en-US"/>
        </w:rPr>
        <w:t xml:space="preserve">Following </w:t>
      </w:r>
      <w:r>
        <w:rPr>
          <w:color w:val="000000"/>
          <w:lang w:eastAsia="en-US"/>
        </w:rPr>
        <w:t xml:space="preserve">a change in the </w:t>
      </w:r>
      <w:r w:rsidRPr="00B3156B">
        <w:rPr>
          <w:color w:val="000000"/>
          <w:lang w:eastAsia="en-US"/>
        </w:rPr>
        <w:t xml:space="preserve">conjugate pneumococcal vaccination </w:t>
      </w:r>
      <w:r>
        <w:rPr>
          <w:color w:val="000000"/>
          <w:lang w:eastAsia="en-US"/>
        </w:rPr>
        <w:t xml:space="preserve">schedule </w:t>
      </w:r>
      <w:proofErr w:type="gramStart"/>
      <w:r w:rsidRPr="00B3156B">
        <w:rPr>
          <w:color w:val="000000"/>
          <w:lang w:eastAsia="en-US"/>
        </w:rPr>
        <w:t>between 2008-2010,</w:t>
      </w:r>
      <w:proofErr w:type="gramEnd"/>
      <w:r w:rsidRPr="00B3156B">
        <w:rPr>
          <w:color w:val="000000"/>
          <w:lang w:eastAsia="en-US"/>
        </w:rPr>
        <w:t xml:space="preserve"> the Menzies School of Health Research monitored otitis</w:t>
      </w:r>
      <w:r w:rsidRPr="00DC53ED">
        <w:rPr>
          <w:color w:val="000000"/>
          <w:lang w:eastAsia="en-US"/>
        </w:rPr>
        <w:t xml:space="preserve"> media in children 0-5 years. </w:t>
      </w:r>
      <w:r>
        <w:rPr>
          <w:color w:val="000000"/>
          <w:lang w:eastAsia="en-US"/>
        </w:rPr>
        <w:t xml:space="preserve">In some of the </w:t>
      </w:r>
      <w:r w:rsidRPr="00DC53ED">
        <w:rPr>
          <w:color w:val="000000"/>
          <w:lang w:eastAsia="en-US"/>
        </w:rPr>
        <w:t>29 remote communities of the Northern Territory</w:t>
      </w:r>
      <w:r>
        <w:rPr>
          <w:color w:val="000000"/>
          <w:lang w:eastAsia="en-US"/>
        </w:rPr>
        <w:t>, it was possible to make comparisons with data that had been collected between 2001.  The communities covered in this most recent period of surveillance</w:t>
      </w:r>
      <w:r w:rsidRPr="00DC53ED">
        <w:rPr>
          <w:color w:val="000000"/>
          <w:lang w:eastAsia="en-US"/>
        </w:rPr>
        <w:t xml:space="preserve"> included Victoria River</w:t>
      </w:r>
      <w:r>
        <w:rPr>
          <w:color w:val="000000"/>
          <w:lang w:eastAsia="en-US"/>
        </w:rPr>
        <w:t xml:space="preserve"> (130 children)</w:t>
      </w:r>
      <w:r w:rsidRPr="00DC53ED">
        <w:rPr>
          <w:color w:val="000000"/>
          <w:lang w:eastAsia="en-US"/>
        </w:rPr>
        <w:t>, the Tiwi Islands</w:t>
      </w:r>
      <w:r>
        <w:rPr>
          <w:color w:val="000000"/>
          <w:lang w:eastAsia="en-US"/>
        </w:rPr>
        <w:t xml:space="preserve"> (110 children)</w:t>
      </w:r>
      <w:r w:rsidRPr="00DC53ED">
        <w:rPr>
          <w:color w:val="000000"/>
          <w:lang w:eastAsia="en-US"/>
        </w:rPr>
        <w:t>, Roper Gulf Region</w:t>
      </w:r>
      <w:r>
        <w:rPr>
          <w:color w:val="000000"/>
          <w:lang w:eastAsia="en-US"/>
        </w:rPr>
        <w:t xml:space="preserve"> (67 children)</w:t>
      </w:r>
      <w:r w:rsidRPr="00DC53ED">
        <w:rPr>
          <w:color w:val="000000"/>
          <w:lang w:eastAsia="en-US"/>
        </w:rPr>
        <w:t>, East Arnhem Land</w:t>
      </w:r>
      <w:r>
        <w:rPr>
          <w:color w:val="000000"/>
          <w:lang w:eastAsia="en-US"/>
        </w:rPr>
        <w:t xml:space="preserve"> (88 children)</w:t>
      </w:r>
      <w:r w:rsidRPr="00DC53ED">
        <w:rPr>
          <w:color w:val="000000"/>
          <w:lang w:eastAsia="en-US"/>
        </w:rPr>
        <w:t>, West Arnhe</w:t>
      </w:r>
      <w:r>
        <w:rPr>
          <w:color w:val="000000"/>
          <w:lang w:eastAsia="en-US"/>
        </w:rPr>
        <w:t xml:space="preserve">m Land (51 children), Kununurra (Western Australia- 76 children) and </w:t>
      </w:r>
      <w:proofErr w:type="spellStart"/>
      <w:r>
        <w:rPr>
          <w:color w:val="000000"/>
          <w:lang w:eastAsia="en-US"/>
        </w:rPr>
        <w:t>Coomalie</w:t>
      </w:r>
      <w:proofErr w:type="spellEnd"/>
      <w:r>
        <w:rPr>
          <w:color w:val="000000"/>
          <w:lang w:eastAsia="en-US"/>
        </w:rPr>
        <w:t xml:space="preserve"> (4 children).</w:t>
      </w:r>
    </w:p>
    <w:p w:rsidR="00BA6265" w:rsidRDefault="00BA6265" w:rsidP="00660039">
      <w:pPr>
        <w:rPr>
          <w:color w:val="000000"/>
          <w:lang w:eastAsia="en-US"/>
        </w:rPr>
      </w:pPr>
    </w:p>
    <w:p w:rsidR="00BA6265" w:rsidRPr="00361ED2" w:rsidRDefault="00BA6265" w:rsidP="00C32FD1">
      <w:pPr>
        <w:widowControl w:val="0"/>
        <w:autoSpaceDE w:val="0"/>
        <w:autoSpaceDN w:val="0"/>
        <w:adjustRightInd w:val="0"/>
      </w:pPr>
      <w:r>
        <w:t>Ear examinations were conducted by c</w:t>
      </w:r>
      <w:r w:rsidRPr="00361ED2">
        <w:t>linical research staff (</w:t>
      </w:r>
      <w:r>
        <w:t xml:space="preserve">registered </w:t>
      </w:r>
      <w:r w:rsidRPr="00361ED2">
        <w:t xml:space="preserve">nurses) </w:t>
      </w:r>
      <w:r>
        <w:t xml:space="preserve">who had received </w:t>
      </w:r>
      <w:r w:rsidRPr="00361ED2">
        <w:t>train</w:t>
      </w:r>
      <w:r>
        <w:t xml:space="preserve">ing in the diagnosis of middle ear disease.  Each examination required </w:t>
      </w:r>
      <w:r w:rsidRPr="00361ED2">
        <w:t xml:space="preserve">a standardized ear assessment using a </w:t>
      </w:r>
      <w:proofErr w:type="spellStart"/>
      <w:r w:rsidRPr="00361ED2">
        <w:t>tympanometer</w:t>
      </w:r>
      <w:proofErr w:type="spellEnd"/>
      <w:r w:rsidRPr="00361ED2">
        <w:t xml:space="preserve"> (</w:t>
      </w:r>
      <w:proofErr w:type="spellStart"/>
      <w:r w:rsidRPr="00361ED2">
        <w:t>Grason</w:t>
      </w:r>
      <w:proofErr w:type="spellEnd"/>
      <w:r w:rsidRPr="00361ED2">
        <w:t xml:space="preserve"> </w:t>
      </w:r>
      <w:proofErr w:type="spellStart"/>
      <w:r w:rsidRPr="00361ED2">
        <w:t>Stadler</w:t>
      </w:r>
      <w:proofErr w:type="spellEnd"/>
      <w:r w:rsidRPr="00361ED2">
        <w:t xml:space="preserve"> GSI 38), a </w:t>
      </w:r>
      <w:proofErr w:type="spellStart"/>
      <w:r w:rsidRPr="00361ED2">
        <w:t>voroscope</w:t>
      </w:r>
      <w:proofErr w:type="spellEnd"/>
      <w:r w:rsidRPr="00361ED2">
        <w:t xml:space="preserve"> (</w:t>
      </w:r>
      <w:proofErr w:type="spellStart"/>
      <w:r w:rsidRPr="00361ED2">
        <w:t>WelchAllyn</w:t>
      </w:r>
      <w:proofErr w:type="spellEnd"/>
      <w:r w:rsidRPr="00361ED2">
        <w:t xml:space="preserve"> </w:t>
      </w:r>
      <w:proofErr w:type="spellStart"/>
      <w:r w:rsidRPr="00361ED2">
        <w:t>LumiView</w:t>
      </w:r>
      <w:proofErr w:type="spellEnd"/>
      <w:r w:rsidRPr="00361ED2">
        <w:t xml:space="preserve">) with Siegel’s speculum for pneumatic </w:t>
      </w:r>
      <w:proofErr w:type="spellStart"/>
      <w:r w:rsidRPr="00361ED2">
        <w:t>otoscopy</w:t>
      </w:r>
      <w:proofErr w:type="spellEnd"/>
      <w:r w:rsidRPr="00361ED2">
        <w:t>, and a video-</w:t>
      </w:r>
      <w:proofErr w:type="spellStart"/>
      <w:r w:rsidRPr="00361ED2">
        <w:t>otoscope</w:t>
      </w:r>
      <w:proofErr w:type="spellEnd"/>
      <w:r w:rsidRPr="00361ED2">
        <w:t xml:space="preserve"> (</w:t>
      </w:r>
      <w:proofErr w:type="spellStart"/>
      <w:r w:rsidRPr="00361ED2">
        <w:t>WelchAllyn</w:t>
      </w:r>
      <w:proofErr w:type="spellEnd"/>
      <w:r w:rsidRPr="00361ED2">
        <w:t>). All findings were recorded on standardized data collection forms. Video-</w:t>
      </w:r>
      <w:proofErr w:type="spellStart"/>
      <w:r w:rsidRPr="00361ED2">
        <w:t>otoscopy</w:t>
      </w:r>
      <w:proofErr w:type="spellEnd"/>
      <w:r w:rsidRPr="00361ED2">
        <w:t xml:space="preserve"> recordings were reviewed by a second independent observer. Any discrepancy in diagnosis was discussed with the data collecting clinicians to reach a final diagnosis that was used for analysis.</w:t>
      </w:r>
    </w:p>
    <w:p w:rsidR="00BA6265" w:rsidRDefault="00BA6265" w:rsidP="00660039">
      <w:pPr>
        <w:rPr>
          <w:color w:val="000000"/>
          <w:lang w:eastAsia="en-US"/>
        </w:rPr>
      </w:pPr>
    </w:p>
    <w:p w:rsidR="00BA6265" w:rsidRDefault="00BA6265" w:rsidP="004032E0">
      <w:pPr>
        <w:contextualSpacing/>
        <w:rPr>
          <w:color w:val="000000"/>
          <w:lang w:eastAsia="en-US"/>
        </w:rPr>
      </w:pPr>
      <w:r w:rsidRPr="002055BD">
        <w:rPr>
          <w:color w:val="000000"/>
          <w:lang w:eastAsia="en-US"/>
        </w:rPr>
        <w:t>An initial detailed ear examination was performed on each child</w:t>
      </w:r>
      <w:r>
        <w:rPr>
          <w:color w:val="000000"/>
          <w:lang w:eastAsia="en-US"/>
        </w:rPr>
        <w:t xml:space="preserve"> and</w:t>
      </w:r>
      <w:r w:rsidRPr="002055BD">
        <w:rPr>
          <w:color w:val="000000"/>
          <w:lang w:eastAsia="en-US"/>
        </w:rPr>
        <w:t xml:space="preserve"> </w:t>
      </w:r>
      <w:r>
        <w:rPr>
          <w:color w:val="000000"/>
          <w:lang w:eastAsia="en-US"/>
        </w:rPr>
        <w:t>s</w:t>
      </w:r>
      <w:r w:rsidRPr="002055BD">
        <w:rPr>
          <w:color w:val="000000"/>
          <w:lang w:eastAsia="en-US"/>
        </w:rPr>
        <w:t>tandardised data forms were used to record the findings and document baseline demographic and medical information. Using recommended clinical criteria for diagnosis in this population</w:t>
      </w:r>
      <w:r>
        <w:rPr>
          <w:color w:val="000000"/>
          <w:lang w:eastAsia="en-US"/>
        </w:rPr>
        <w:t>,</w:t>
      </w:r>
      <w:r w:rsidRPr="00316278">
        <w:rPr>
          <w:color w:val="000000"/>
          <w:vertAlign w:val="superscript"/>
          <w:lang w:eastAsia="en-US"/>
        </w:rPr>
        <w:t>5</w:t>
      </w:r>
      <w:r w:rsidRPr="002055BD">
        <w:rPr>
          <w:color w:val="000000"/>
          <w:lang w:eastAsia="en-US"/>
        </w:rPr>
        <w:t xml:space="preserve"> we categorised middle ear states as follows: [0] normal; [1] normal mobility but abnormal appearance; [2] retracted mobile drum; [3] otitis media with effusion; [4] acute otitis media without perforation</w:t>
      </w:r>
      <w:r>
        <w:rPr>
          <w:color w:val="000000"/>
          <w:lang w:eastAsia="en-US"/>
        </w:rPr>
        <w:t xml:space="preserve"> (</w:t>
      </w:r>
      <w:proofErr w:type="spellStart"/>
      <w:r>
        <w:rPr>
          <w:color w:val="000000"/>
          <w:lang w:eastAsia="en-US"/>
        </w:rPr>
        <w:t>AOMwoP</w:t>
      </w:r>
      <w:proofErr w:type="spellEnd"/>
      <w:r>
        <w:rPr>
          <w:color w:val="000000"/>
          <w:lang w:eastAsia="en-US"/>
        </w:rPr>
        <w:t>)</w:t>
      </w:r>
      <w:r w:rsidRPr="002055BD">
        <w:rPr>
          <w:color w:val="000000"/>
          <w:lang w:eastAsia="en-US"/>
        </w:rPr>
        <w:t>; [5] acute otitis media with perforation</w:t>
      </w:r>
      <w:r>
        <w:rPr>
          <w:color w:val="000000"/>
          <w:lang w:eastAsia="en-US"/>
        </w:rPr>
        <w:t xml:space="preserve"> (</w:t>
      </w:r>
      <w:proofErr w:type="spellStart"/>
      <w:r>
        <w:rPr>
          <w:color w:val="000000"/>
          <w:lang w:eastAsia="en-US"/>
        </w:rPr>
        <w:t>AOMwiP</w:t>
      </w:r>
      <w:proofErr w:type="spellEnd"/>
      <w:r>
        <w:rPr>
          <w:color w:val="000000"/>
          <w:lang w:eastAsia="en-US"/>
        </w:rPr>
        <w:t>)</w:t>
      </w:r>
      <w:r w:rsidRPr="002055BD">
        <w:rPr>
          <w:color w:val="000000"/>
          <w:lang w:eastAsia="en-US"/>
        </w:rPr>
        <w:t>;</w:t>
      </w:r>
      <w:r w:rsidRPr="002055BD">
        <w:t xml:space="preserve"> [6] dry perforation</w:t>
      </w:r>
      <w:r>
        <w:t xml:space="preserve"> (DP)</w:t>
      </w:r>
      <w:r w:rsidRPr="002055BD">
        <w:t xml:space="preserve">; and [7] chronic </w:t>
      </w:r>
      <w:proofErr w:type="spellStart"/>
      <w:r w:rsidRPr="002055BD">
        <w:t>suppurative</w:t>
      </w:r>
      <w:proofErr w:type="spellEnd"/>
      <w:r w:rsidRPr="002055BD">
        <w:t xml:space="preserve"> otitis media</w:t>
      </w:r>
      <w:r>
        <w:t xml:space="preserve"> </w:t>
      </w:r>
      <w:r>
        <w:lastRenderedPageBreak/>
        <w:t>(CSOM)</w:t>
      </w:r>
      <w:r w:rsidRPr="002055BD">
        <w:t xml:space="preserve">. Children with </w:t>
      </w:r>
      <w:r>
        <w:t xml:space="preserve">a </w:t>
      </w:r>
      <w:r w:rsidRPr="002055BD">
        <w:t xml:space="preserve">diagnosis of </w:t>
      </w:r>
      <w:r>
        <w:t xml:space="preserve">5, 6 or 7 for </w:t>
      </w:r>
      <w:r w:rsidRPr="002055BD">
        <w:t xml:space="preserve">one or both ears were </w:t>
      </w:r>
      <w:r>
        <w:t>considered to have the most severe middle ear disease</w:t>
      </w:r>
      <w:r w:rsidRPr="002055BD">
        <w:t xml:space="preserve">. </w:t>
      </w:r>
      <w:r>
        <w:t>The overall diagnosis reflected the state of the child’s more severely affected ear.</w:t>
      </w:r>
      <w:r>
        <w:rPr>
          <w:color w:val="000000"/>
          <w:lang w:eastAsia="en-US"/>
        </w:rPr>
        <w:t xml:space="preserve"> </w:t>
      </w:r>
    </w:p>
    <w:p w:rsidR="00BA6265" w:rsidRDefault="00BA6265" w:rsidP="004032E0">
      <w:pPr>
        <w:contextualSpacing/>
        <w:rPr>
          <w:color w:val="000000"/>
          <w:lang w:eastAsia="en-US"/>
        </w:rPr>
      </w:pPr>
    </w:p>
    <w:p w:rsidR="00BC29AC" w:rsidRDefault="00BA6265" w:rsidP="00BC29AC">
      <w:pPr>
        <w:spacing w:after="240"/>
        <w:rPr>
          <w:lang w:eastAsia="en-US"/>
        </w:rPr>
      </w:pPr>
      <w:r>
        <w:rPr>
          <w:lang w:eastAsia="en-US"/>
        </w:rPr>
        <w:t xml:space="preserve">Upon </w:t>
      </w:r>
      <w:r w:rsidRPr="002055BD">
        <w:rPr>
          <w:lang w:eastAsia="en-US"/>
        </w:rPr>
        <w:t xml:space="preserve">completion of the study, a second blinded ear health research officer </w:t>
      </w:r>
      <w:r>
        <w:rPr>
          <w:lang w:eastAsia="en-US"/>
        </w:rPr>
        <w:t>made an independent diagnosis of all the cases that were accompanied by sufficiently clear video footage</w:t>
      </w:r>
      <w:r w:rsidRPr="002055BD">
        <w:rPr>
          <w:lang w:eastAsia="en-US"/>
        </w:rPr>
        <w:t>. Where the second blinded assessor’s diagnosis disagreed with the original clinical diagnosis, a consensus diagnosis was made in consultation with a third blinded assessor.</w:t>
      </w:r>
    </w:p>
    <w:p w:rsidR="00BA6265" w:rsidRPr="00BC29AC" w:rsidRDefault="00BA6265" w:rsidP="00BC29AC">
      <w:pPr>
        <w:pStyle w:val="Heading7"/>
      </w:pPr>
      <w:r w:rsidRPr="00BC29AC">
        <w:t xml:space="preserve">Definitions </w:t>
      </w:r>
    </w:p>
    <w:p w:rsidR="00BA6265" w:rsidRPr="00361ED2" w:rsidRDefault="00BA6265" w:rsidP="00E3265B">
      <w:pPr>
        <w:widowControl w:val="0"/>
        <w:autoSpaceDE w:val="0"/>
        <w:autoSpaceDN w:val="0"/>
        <w:adjustRightInd w:val="0"/>
      </w:pPr>
      <w:r w:rsidRPr="00361ED2">
        <w:t>Six categories of middle ear conditions were defined based on criteria for diagnosis derived from specific clinical guidelines issued for this population by the Australian Office of Aboriginal and Torres Strait Islander Health (OATSIH)</w:t>
      </w:r>
      <w:r>
        <w:t>.</w:t>
      </w:r>
      <w:r w:rsidRPr="0092053F">
        <w:rPr>
          <w:vertAlign w:val="superscript"/>
        </w:rPr>
        <w:t>5</w:t>
      </w:r>
      <w:r w:rsidRPr="00361ED2">
        <w:t xml:space="preserve"> </w:t>
      </w:r>
      <w:proofErr w:type="gramStart"/>
      <w:r w:rsidRPr="00361ED2">
        <w:t>A</w:t>
      </w:r>
      <w:proofErr w:type="gramEnd"/>
      <w:r w:rsidRPr="00361ED2">
        <w:t xml:space="preserve"> summary of the categories and criteria for diagnosis appears in table 1. </w:t>
      </w:r>
    </w:p>
    <w:p w:rsidR="00BA6265" w:rsidRDefault="00BA6265" w:rsidP="00E3265B">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4"/>
        <w:gridCol w:w="5210"/>
      </w:tblGrid>
      <w:tr w:rsidR="00BA6265" w:rsidRPr="006B0443" w:rsidTr="008C78DE">
        <w:tc>
          <w:tcPr>
            <w:tcW w:w="9464" w:type="dxa"/>
            <w:gridSpan w:val="2"/>
            <w:tcBorders>
              <w:bottom w:val="double" w:sz="4" w:space="0" w:color="auto"/>
            </w:tcBorders>
          </w:tcPr>
          <w:p w:rsidR="00BA6265" w:rsidRPr="00493378" w:rsidRDefault="00BA6265" w:rsidP="008C78DE">
            <w:pPr>
              <w:widowControl w:val="0"/>
              <w:autoSpaceDE w:val="0"/>
              <w:autoSpaceDN w:val="0"/>
              <w:adjustRightInd w:val="0"/>
              <w:rPr>
                <w:b/>
              </w:rPr>
            </w:pPr>
            <w:r w:rsidRPr="00493378">
              <w:rPr>
                <w:b/>
              </w:rPr>
              <w:t>TABLE 1. Categories of middle ear conditions and diagnosis criteria derived from the Australian Office of Aboriginal and Torres Strait Islander Health (OATSIH) guidelines</w:t>
            </w:r>
          </w:p>
          <w:p w:rsidR="00BA6265" w:rsidRPr="00493378" w:rsidRDefault="00BA6265" w:rsidP="008C78DE">
            <w:pPr>
              <w:widowControl w:val="0"/>
              <w:autoSpaceDE w:val="0"/>
              <w:autoSpaceDN w:val="0"/>
              <w:adjustRightInd w:val="0"/>
              <w:rPr>
                <w:sz w:val="12"/>
                <w:szCs w:val="12"/>
              </w:rPr>
            </w:pPr>
          </w:p>
        </w:tc>
      </w:tr>
      <w:tr w:rsidR="00BA6265" w:rsidRPr="006B0443" w:rsidTr="008C78DE">
        <w:tc>
          <w:tcPr>
            <w:tcW w:w="4254" w:type="dxa"/>
            <w:tcBorders>
              <w:top w:val="double" w:sz="4" w:space="0" w:color="auto"/>
            </w:tcBorders>
          </w:tcPr>
          <w:p w:rsidR="00BA6265" w:rsidRPr="006B0443" w:rsidRDefault="00BA6265" w:rsidP="008C78DE">
            <w:pPr>
              <w:widowControl w:val="0"/>
              <w:autoSpaceDE w:val="0"/>
              <w:autoSpaceDN w:val="0"/>
              <w:adjustRightInd w:val="0"/>
              <w:rPr>
                <w:b/>
              </w:rPr>
            </w:pPr>
            <w:r w:rsidRPr="006B0443">
              <w:rPr>
                <w:b/>
              </w:rPr>
              <w:t>Categories</w:t>
            </w:r>
          </w:p>
        </w:tc>
        <w:tc>
          <w:tcPr>
            <w:tcW w:w="5210" w:type="dxa"/>
            <w:tcBorders>
              <w:top w:val="double" w:sz="4" w:space="0" w:color="auto"/>
            </w:tcBorders>
          </w:tcPr>
          <w:p w:rsidR="00BA6265" w:rsidRDefault="00BA6265" w:rsidP="008C78DE">
            <w:pPr>
              <w:widowControl w:val="0"/>
              <w:autoSpaceDE w:val="0"/>
              <w:autoSpaceDN w:val="0"/>
              <w:adjustRightInd w:val="0"/>
              <w:rPr>
                <w:b/>
              </w:rPr>
            </w:pPr>
            <w:r w:rsidRPr="006B0443">
              <w:rPr>
                <w:b/>
              </w:rPr>
              <w:t>Criteria for diagnosis</w:t>
            </w:r>
          </w:p>
          <w:p w:rsidR="00BA6265" w:rsidRPr="00493378" w:rsidRDefault="00BA6265" w:rsidP="008C78DE">
            <w:pPr>
              <w:widowControl w:val="0"/>
              <w:autoSpaceDE w:val="0"/>
              <w:autoSpaceDN w:val="0"/>
              <w:adjustRightInd w:val="0"/>
              <w:rPr>
                <w:b/>
                <w:sz w:val="12"/>
                <w:szCs w:val="12"/>
              </w:rPr>
            </w:pPr>
          </w:p>
        </w:tc>
      </w:tr>
      <w:tr w:rsidR="00BA6265" w:rsidRPr="006B0443" w:rsidTr="008C78DE">
        <w:tc>
          <w:tcPr>
            <w:tcW w:w="4254" w:type="dxa"/>
          </w:tcPr>
          <w:p w:rsidR="00BA6265" w:rsidRPr="006B0443" w:rsidRDefault="00BA6265" w:rsidP="008C78DE">
            <w:pPr>
              <w:widowControl w:val="0"/>
              <w:autoSpaceDE w:val="0"/>
              <w:autoSpaceDN w:val="0"/>
              <w:adjustRightInd w:val="0"/>
            </w:pPr>
            <w:r w:rsidRPr="006B0443">
              <w:t>1. Normal</w:t>
            </w:r>
          </w:p>
        </w:tc>
        <w:tc>
          <w:tcPr>
            <w:tcW w:w="5210" w:type="dxa"/>
          </w:tcPr>
          <w:p w:rsidR="00BA6265" w:rsidRPr="006B0443" w:rsidRDefault="00BA6265" w:rsidP="008C78DE">
            <w:pPr>
              <w:widowControl w:val="0"/>
              <w:autoSpaceDE w:val="0"/>
              <w:autoSpaceDN w:val="0"/>
              <w:adjustRightInd w:val="0"/>
            </w:pPr>
          </w:p>
        </w:tc>
      </w:tr>
      <w:tr w:rsidR="00BA6265" w:rsidRPr="006B0443" w:rsidTr="008C78DE">
        <w:tc>
          <w:tcPr>
            <w:tcW w:w="4254" w:type="dxa"/>
          </w:tcPr>
          <w:p w:rsidR="00BA6265" w:rsidRPr="006B0443" w:rsidRDefault="00BA6265" w:rsidP="008C78DE">
            <w:pPr>
              <w:widowControl w:val="0"/>
              <w:autoSpaceDE w:val="0"/>
              <w:autoSpaceDN w:val="0"/>
              <w:adjustRightInd w:val="0"/>
            </w:pPr>
            <w:r w:rsidRPr="006B0443">
              <w:t>2. Otitis media with effusion (OME)</w:t>
            </w:r>
          </w:p>
        </w:tc>
        <w:tc>
          <w:tcPr>
            <w:tcW w:w="5210" w:type="dxa"/>
          </w:tcPr>
          <w:p w:rsidR="00BA6265" w:rsidRPr="006B0443" w:rsidRDefault="00BA6265" w:rsidP="008C78DE">
            <w:pPr>
              <w:widowControl w:val="0"/>
              <w:autoSpaceDE w:val="0"/>
              <w:autoSpaceDN w:val="0"/>
              <w:adjustRightInd w:val="0"/>
            </w:pPr>
            <w:r w:rsidRPr="006B0443">
              <w:t xml:space="preserve">Intact and non-bulging tympanic membrane (TM) and Type B </w:t>
            </w:r>
            <w:proofErr w:type="spellStart"/>
            <w:r w:rsidRPr="006B0443">
              <w:t>tympanogram</w:t>
            </w:r>
            <w:proofErr w:type="spellEnd"/>
          </w:p>
        </w:tc>
      </w:tr>
      <w:tr w:rsidR="00BA6265" w:rsidRPr="006B0443" w:rsidTr="008C78DE">
        <w:tc>
          <w:tcPr>
            <w:tcW w:w="4254" w:type="dxa"/>
          </w:tcPr>
          <w:p w:rsidR="00BA6265" w:rsidRPr="006B0443" w:rsidRDefault="00BA6265" w:rsidP="008C78DE">
            <w:pPr>
              <w:widowControl w:val="0"/>
              <w:autoSpaceDE w:val="0"/>
              <w:autoSpaceDN w:val="0"/>
              <w:adjustRightInd w:val="0"/>
            </w:pPr>
            <w:r w:rsidRPr="006B0443">
              <w:t>3. Acute otitis media without perforation (</w:t>
            </w:r>
            <w:proofErr w:type="spellStart"/>
            <w:r w:rsidRPr="006B0443">
              <w:t>AOMwoP</w:t>
            </w:r>
            <w:proofErr w:type="spellEnd"/>
            <w:r w:rsidRPr="006B0443">
              <w:t>)</w:t>
            </w:r>
          </w:p>
        </w:tc>
        <w:tc>
          <w:tcPr>
            <w:tcW w:w="5210" w:type="dxa"/>
          </w:tcPr>
          <w:p w:rsidR="00BA6265" w:rsidRPr="006B0443" w:rsidRDefault="00BA6265" w:rsidP="008C78DE">
            <w:pPr>
              <w:widowControl w:val="0"/>
              <w:autoSpaceDE w:val="0"/>
              <w:autoSpaceDN w:val="0"/>
              <w:adjustRightInd w:val="0"/>
            </w:pPr>
            <w:r w:rsidRPr="006B0443">
              <w:t xml:space="preserve">Any bulging of the TM plus Type B </w:t>
            </w:r>
            <w:proofErr w:type="spellStart"/>
            <w:r w:rsidRPr="006B0443">
              <w:t>tympanogram</w:t>
            </w:r>
            <w:proofErr w:type="spellEnd"/>
          </w:p>
        </w:tc>
      </w:tr>
      <w:tr w:rsidR="00BA6265" w:rsidRPr="006B0443" w:rsidTr="008C78DE">
        <w:tc>
          <w:tcPr>
            <w:tcW w:w="4254" w:type="dxa"/>
          </w:tcPr>
          <w:p w:rsidR="00BA6265" w:rsidRPr="006B0443" w:rsidRDefault="00BA6265" w:rsidP="008C78DE">
            <w:pPr>
              <w:widowControl w:val="0"/>
              <w:autoSpaceDE w:val="0"/>
              <w:autoSpaceDN w:val="0"/>
              <w:adjustRightInd w:val="0"/>
            </w:pPr>
            <w:r w:rsidRPr="006B0443">
              <w:t>4. Acute otitis media with perforation (</w:t>
            </w:r>
            <w:proofErr w:type="spellStart"/>
            <w:r w:rsidRPr="006B0443">
              <w:t>AOMwiP</w:t>
            </w:r>
            <w:proofErr w:type="spellEnd"/>
            <w:r w:rsidRPr="006B0443">
              <w:t>)</w:t>
            </w:r>
          </w:p>
        </w:tc>
        <w:tc>
          <w:tcPr>
            <w:tcW w:w="5210" w:type="dxa"/>
          </w:tcPr>
          <w:p w:rsidR="00BA6265" w:rsidRPr="006B0443" w:rsidRDefault="00BA6265" w:rsidP="008C78DE">
            <w:pPr>
              <w:widowControl w:val="0"/>
              <w:autoSpaceDE w:val="0"/>
              <w:autoSpaceDN w:val="0"/>
              <w:adjustRightInd w:val="0"/>
            </w:pPr>
            <w:r w:rsidRPr="006B0443">
              <w:t xml:space="preserve">Middle ear discharge observed and perforation recently healed or present for less than six weeks or covering less than 2% of the pars </w:t>
            </w:r>
            <w:proofErr w:type="spellStart"/>
            <w:r w:rsidRPr="006B0443">
              <w:t>tensa</w:t>
            </w:r>
            <w:proofErr w:type="spellEnd"/>
            <w:r w:rsidRPr="006B0443">
              <w:t xml:space="preserve"> of the TM</w:t>
            </w:r>
          </w:p>
        </w:tc>
      </w:tr>
      <w:tr w:rsidR="00BA6265" w:rsidRPr="006B0443" w:rsidTr="008C78DE">
        <w:tc>
          <w:tcPr>
            <w:tcW w:w="4254" w:type="dxa"/>
          </w:tcPr>
          <w:p w:rsidR="00BA6265" w:rsidRPr="006B0443" w:rsidRDefault="00BA6265" w:rsidP="008C78DE">
            <w:pPr>
              <w:widowControl w:val="0"/>
              <w:autoSpaceDE w:val="0"/>
              <w:autoSpaceDN w:val="0"/>
              <w:adjustRightInd w:val="0"/>
            </w:pPr>
            <w:r w:rsidRPr="006B0443">
              <w:t>5. Dry perforation</w:t>
            </w:r>
          </w:p>
        </w:tc>
        <w:tc>
          <w:tcPr>
            <w:tcW w:w="5210" w:type="dxa"/>
          </w:tcPr>
          <w:p w:rsidR="00BA6265" w:rsidRPr="006B0443" w:rsidRDefault="00BA6265" w:rsidP="008C78DE">
            <w:pPr>
              <w:widowControl w:val="0"/>
              <w:autoSpaceDE w:val="0"/>
              <w:autoSpaceDN w:val="0"/>
              <w:adjustRightInd w:val="0"/>
            </w:pPr>
            <w:r w:rsidRPr="006B0443">
              <w:t>Presence of a TM perforation without any discharge observed</w:t>
            </w:r>
          </w:p>
        </w:tc>
      </w:tr>
      <w:tr w:rsidR="00BA6265" w:rsidRPr="006B0443" w:rsidTr="008C78DE">
        <w:tc>
          <w:tcPr>
            <w:tcW w:w="4254" w:type="dxa"/>
          </w:tcPr>
          <w:p w:rsidR="00BA6265" w:rsidRPr="006B0443" w:rsidRDefault="00BA6265" w:rsidP="008C78DE">
            <w:pPr>
              <w:widowControl w:val="0"/>
              <w:autoSpaceDE w:val="0"/>
              <w:autoSpaceDN w:val="0"/>
              <w:adjustRightInd w:val="0"/>
            </w:pPr>
            <w:r w:rsidRPr="006B0443">
              <w:t xml:space="preserve">6. Chronic </w:t>
            </w:r>
            <w:proofErr w:type="spellStart"/>
            <w:r w:rsidRPr="006B0443">
              <w:t>Suppurative</w:t>
            </w:r>
            <w:proofErr w:type="spellEnd"/>
            <w:r w:rsidRPr="006B0443">
              <w:t xml:space="preserve"> Otitis Media (CSOM)</w:t>
            </w:r>
          </w:p>
        </w:tc>
        <w:tc>
          <w:tcPr>
            <w:tcW w:w="5210" w:type="dxa"/>
          </w:tcPr>
          <w:p w:rsidR="00BA6265" w:rsidRPr="006B0443" w:rsidRDefault="00BA6265" w:rsidP="008C78DE">
            <w:pPr>
              <w:widowControl w:val="0"/>
              <w:autoSpaceDE w:val="0"/>
              <w:autoSpaceDN w:val="0"/>
              <w:adjustRightInd w:val="0"/>
            </w:pPr>
            <w:r w:rsidRPr="006B0443">
              <w:t xml:space="preserve">Discharge observed and TM perforation present for more than six weeks and covering at least </w:t>
            </w:r>
            <w:r>
              <w:t xml:space="preserve">2% of the pars </w:t>
            </w:r>
            <w:proofErr w:type="spellStart"/>
            <w:r>
              <w:t>tensa</w:t>
            </w:r>
            <w:proofErr w:type="spellEnd"/>
            <w:r>
              <w:t xml:space="preserve"> of the TM</w:t>
            </w:r>
          </w:p>
        </w:tc>
      </w:tr>
    </w:tbl>
    <w:p w:rsidR="00BA6265" w:rsidRPr="004032E0" w:rsidRDefault="00BA6265" w:rsidP="00BC29AC">
      <w:pPr>
        <w:pStyle w:val="Heading7"/>
        <w:rPr>
          <w:lang w:eastAsia="en-US"/>
        </w:rPr>
      </w:pPr>
      <w:r w:rsidRPr="004032E0">
        <w:rPr>
          <w:lang w:eastAsia="en-US"/>
        </w:rPr>
        <w:t>Demographic and Risk Factor Questionnaire</w:t>
      </w:r>
    </w:p>
    <w:p w:rsidR="00BA6265" w:rsidRDefault="00BA6265" w:rsidP="00660039">
      <w:r>
        <w:t>A standardised questionnaire was also completed at the time of the surveys.  This included age, gender, birth factors, antibiotic intake/type and cold symptoms.  Other social risk factors were also recorded such as number of people per house, number of children in the household, percentage of houses with more than 7 people, whether the child was in childcare, maternal smoking and education, and whether the child is routinely near a campfire routinely, and whether the child was breastfed and/or uses a pacifier.</w:t>
      </w:r>
    </w:p>
    <w:p w:rsidR="00BA6265" w:rsidRPr="004032E0" w:rsidRDefault="00BA6265" w:rsidP="00BC29AC">
      <w:pPr>
        <w:pStyle w:val="Heading7"/>
      </w:pPr>
      <w:r w:rsidRPr="004032E0">
        <w:t>Results</w:t>
      </w:r>
    </w:p>
    <w:p w:rsidR="00BA6265" w:rsidRDefault="00BA6265" w:rsidP="00963B31">
      <w:pPr>
        <w:spacing w:after="1320"/>
        <w:rPr>
          <w:b/>
        </w:rPr>
      </w:pPr>
      <w:r>
        <w:t>Overall, 526 children and their families were seen in 24 communities as part of this surveillance project.  Most children were seen (and most communities were visited) in 2009 and 2010 (see Table 2).  There were 353 children aged 0-30 months seen and their results could be compared with the previous Menzies research data from 2001 (reported in 2006- see Figure 1 and Table 3).</w:t>
      </w:r>
      <w:r w:rsidR="00963B31">
        <w:rPr>
          <w:b/>
        </w:rPr>
        <w:t xml:space="preserve"> </w:t>
      </w:r>
    </w:p>
    <w:p w:rsidR="00963B31" w:rsidRDefault="00BA6265" w:rsidP="00963B31">
      <w:pPr>
        <w:spacing w:after="120"/>
        <w:rPr>
          <w:rFonts w:ascii="Courier New" w:hAnsi="Courier New" w:cs="Courier New"/>
        </w:rPr>
      </w:pPr>
      <w:r>
        <w:rPr>
          <w:b/>
        </w:rPr>
        <w:lastRenderedPageBreak/>
        <w:t>Table 2.</w:t>
      </w:r>
      <w:r w:rsidRPr="00DC53ED">
        <w:rPr>
          <w:b/>
        </w:rPr>
        <w:t xml:space="preserve"> </w:t>
      </w:r>
      <w:proofErr w:type="gramStart"/>
      <w:r w:rsidRPr="00DC53ED">
        <w:t>Number of children seen in each community, by year</w:t>
      </w:r>
      <w:r>
        <w:t>.</w:t>
      </w:r>
      <w:proofErr w:type="gramEnd"/>
    </w:p>
    <w:p w:rsidR="00BA6265" w:rsidRPr="00FB5617" w:rsidRDefault="00BA6265" w:rsidP="00963B31">
      <w:pPr>
        <w:tabs>
          <w:tab w:val="left" w:pos="2552"/>
        </w:tabs>
        <w:rPr>
          <w:rFonts w:ascii="Courier New" w:hAnsi="Courier New" w:cs="Courier New"/>
        </w:rPr>
      </w:pPr>
      <w:r>
        <w:rPr>
          <w:rFonts w:ascii="Courier New" w:hAnsi="Courier New" w:cs="Courier New"/>
        </w:rPr>
        <w:t xml:space="preserve"> |</w:t>
      </w:r>
      <w:r w:rsidR="00963B31">
        <w:rPr>
          <w:rFonts w:ascii="Courier New" w:hAnsi="Courier New" w:cs="Courier New"/>
        </w:rPr>
        <w:tab/>
      </w:r>
      <w:r w:rsidRPr="00651D14">
        <w:rPr>
          <w:rFonts w:ascii="Courier New" w:hAnsi="Courier New" w:cs="Courier New"/>
          <w:b/>
        </w:rPr>
        <w:t>Year</w:t>
      </w:r>
    </w:p>
    <w:p w:rsidR="00BA6265" w:rsidRPr="00651D14" w:rsidRDefault="00BA6265" w:rsidP="00963B31">
      <w:pPr>
        <w:tabs>
          <w:tab w:val="left" w:pos="2552"/>
          <w:tab w:val="left" w:pos="4253"/>
          <w:tab w:val="left" w:pos="5812"/>
          <w:tab w:val="left" w:pos="7371"/>
        </w:tabs>
        <w:rPr>
          <w:rFonts w:ascii="Courier New" w:hAnsi="Courier New" w:cs="Courier New"/>
          <w:b/>
        </w:rPr>
      </w:pPr>
      <w:r>
        <w:rPr>
          <w:rFonts w:ascii="Courier New" w:hAnsi="Courier New" w:cs="Courier New"/>
        </w:rPr>
        <w:t xml:space="preserve"> </w:t>
      </w:r>
      <w:r w:rsidRPr="00651D14">
        <w:rPr>
          <w:rFonts w:ascii="Courier New" w:hAnsi="Courier New" w:cs="Courier New"/>
          <w:b/>
        </w:rPr>
        <w:t>Community |</w:t>
      </w:r>
      <w:r w:rsidR="00963B31">
        <w:rPr>
          <w:rFonts w:ascii="Courier New" w:hAnsi="Courier New" w:cs="Courier New"/>
          <w:b/>
        </w:rPr>
        <w:tab/>
      </w:r>
      <w:r w:rsidRPr="00651D14">
        <w:rPr>
          <w:rFonts w:ascii="Courier New" w:hAnsi="Courier New" w:cs="Courier New"/>
          <w:b/>
        </w:rPr>
        <w:t>2008</w:t>
      </w:r>
      <w:r w:rsidR="00963B31">
        <w:rPr>
          <w:rFonts w:ascii="Courier New" w:hAnsi="Courier New" w:cs="Courier New"/>
          <w:b/>
        </w:rPr>
        <w:tab/>
      </w:r>
      <w:r w:rsidRPr="00651D14">
        <w:rPr>
          <w:rFonts w:ascii="Courier New" w:hAnsi="Courier New" w:cs="Courier New"/>
          <w:b/>
        </w:rPr>
        <w:t>2009</w:t>
      </w:r>
      <w:r w:rsidR="00963B31">
        <w:rPr>
          <w:rFonts w:ascii="Courier New" w:hAnsi="Courier New" w:cs="Courier New"/>
          <w:b/>
        </w:rPr>
        <w:tab/>
      </w:r>
      <w:r w:rsidRPr="00651D14">
        <w:rPr>
          <w:rFonts w:ascii="Courier New" w:hAnsi="Courier New" w:cs="Courier New"/>
          <w:b/>
        </w:rPr>
        <w:t>2010 |</w:t>
      </w:r>
      <w:r w:rsidR="00963B31">
        <w:rPr>
          <w:rFonts w:ascii="Courier New" w:hAnsi="Courier New" w:cs="Courier New"/>
          <w:b/>
        </w:rPr>
        <w:tab/>
      </w:r>
      <w:r w:rsidRPr="00651D14">
        <w:rPr>
          <w:rFonts w:ascii="Courier New" w:hAnsi="Courier New" w:cs="Courier New"/>
          <w:b/>
        </w:rPr>
        <w:t>Total</w:t>
      </w:r>
    </w:p>
    <w:p w:rsidR="00963B31" w:rsidRDefault="00BA6265" w:rsidP="00963B31">
      <w:pPr>
        <w:rPr>
          <w:rFonts w:ascii="Courier New" w:hAnsi="Courier New" w:cs="Courier New"/>
        </w:rPr>
      </w:pPr>
      <w:r w:rsidRPr="00FB5617">
        <w:rPr>
          <w:rFonts w:ascii="Courier New" w:hAnsi="Courier New" w:cs="Courier New"/>
        </w:rPr>
        <w:t>-----------+---------------------------------+----------</w:t>
      </w:r>
    </w:p>
    <w:p w:rsidR="00963B31" w:rsidRDefault="00963B31" w:rsidP="009B6740">
      <w:pPr>
        <w:tabs>
          <w:tab w:val="left" w:pos="1276"/>
          <w:tab w:val="left" w:pos="2977"/>
          <w:tab w:val="left" w:pos="4395"/>
          <w:tab w:val="left" w:pos="6237"/>
          <w:tab w:val="left" w:pos="7655"/>
        </w:tabs>
        <w:rPr>
          <w:rFonts w:ascii="Courier New" w:hAnsi="Courier New" w:cs="Courier New"/>
        </w:rPr>
      </w:pPr>
      <w:r>
        <w:rPr>
          <w:rFonts w:ascii="Courier New" w:hAnsi="Courier New" w:cs="Courier New"/>
        </w:rPr>
        <w:tab/>
      </w:r>
      <w:r w:rsidR="00BA6265" w:rsidRPr="00FB5617">
        <w:rPr>
          <w:rFonts w:ascii="Courier New" w:hAnsi="Courier New" w:cs="Courier New"/>
        </w:rPr>
        <w:t>1 |</w:t>
      </w:r>
      <w:r>
        <w:rPr>
          <w:rFonts w:ascii="Courier New" w:hAnsi="Courier New" w:cs="Courier New"/>
        </w:rPr>
        <w:tab/>
      </w:r>
      <w:r w:rsidR="00BA6265" w:rsidRPr="00FB5617">
        <w:rPr>
          <w:rFonts w:ascii="Courier New" w:hAnsi="Courier New" w:cs="Courier New"/>
        </w:rPr>
        <w:t>66</w:t>
      </w:r>
      <w:r>
        <w:rPr>
          <w:rFonts w:ascii="Courier New" w:hAnsi="Courier New" w:cs="Courier New"/>
        </w:rPr>
        <w:tab/>
      </w:r>
      <w:r w:rsidR="00BA6265" w:rsidRPr="00FB5617">
        <w:rPr>
          <w:rFonts w:ascii="Courier New" w:hAnsi="Courier New" w:cs="Courier New"/>
        </w:rPr>
        <w:t>53</w:t>
      </w:r>
      <w:r>
        <w:rPr>
          <w:rFonts w:ascii="Courier New" w:hAnsi="Courier New" w:cs="Courier New"/>
        </w:rPr>
        <w:tab/>
      </w:r>
      <w:r w:rsidR="00BA6265" w:rsidRPr="00FB5617">
        <w:rPr>
          <w:rFonts w:ascii="Courier New" w:hAnsi="Courier New" w:cs="Courier New"/>
        </w:rPr>
        <w:t>8 |</w:t>
      </w:r>
      <w:r>
        <w:rPr>
          <w:rFonts w:ascii="Courier New" w:hAnsi="Courier New" w:cs="Courier New"/>
        </w:rPr>
        <w:tab/>
      </w:r>
      <w:r w:rsidR="00BA6265" w:rsidRPr="00FB5617">
        <w:rPr>
          <w:rFonts w:ascii="Courier New" w:hAnsi="Courier New" w:cs="Courier New"/>
        </w:rPr>
        <w:t>127</w:t>
      </w:r>
    </w:p>
    <w:p w:rsidR="00963B31" w:rsidRPr="00FB5617" w:rsidRDefault="00963B31" w:rsidP="009B6740">
      <w:pPr>
        <w:tabs>
          <w:tab w:val="left" w:pos="1276"/>
          <w:tab w:val="left" w:pos="2977"/>
          <w:tab w:val="left" w:pos="4395"/>
          <w:tab w:val="left" w:pos="6096"/>
          <w:tab w:val="left" w:pos="7797"/>
        </w:tabs>
        <w:rPr>
          <w:rFonts w:ascii="Courier New" w:hAnsi="Courier New" w:cs="Courier New"/>
        </w:rPr>
      </w:pPr>
      <w:r>
        <w:rPr>
          <w:rFonts w:ascii="Courier New" w:hAnsi="Courier New" w:cs="Courier New"/>
        </w:rPr>
        <w:tab/>
      </w:r>
      <w:r w:rsidR="00BA6265" w:rsidRPr="00FB5617">
        <w:rPr>
          <w:rFonts w:ascii="Courier New" w:hAnsi="Courier New" w:cs="Courier New"/>
        </w:rPr>
        <w:t>2 |</w:t>
      </w:r>
      <w:r>
        <w:rPr>
          <w:rFonts w:ascii="Courier New" w:hAnsi="Courier New" w:cs="Courier New"/>
        </w:rPr>
        <w:tab/>
      </w:r>
      <w:r w:rsidR="00BA6265" w:rsidRPr="00FB5617">
        <w:rPr>
          <w:rFonts w:ascii="Courier New" w:hAnsi="Courier New" w:cs="Courier New"/>
        </w:rPr>
        <w:t>0</w:t>
      </w:r>
      <w:r>
        <w:rPr>
          <w:rFonts w:ascii="Courier New" w:hAnsi="Courier New" w:cs="Courier New"/>
        </w:rPr>
        <w:tab/>
      </w:r>
      <w:r w:rsidR="00BA6265" w:rsidRPr="00FB5617">
        <w:rPr>
          <w:rFonts w:ascii="Courier New" w:hAnsi="Courier New" w:cs="Courier New"/>
        </w:rPr>
        <w:t>54</w:t>
      </w:r>
      <w:r>
        <w:rPr>
          <w:rFonts w:ascii="Courier New" w:hAnsi="Courier New" w:cs="Courier New"/>
        </w:rPr>
        <w:tab/>
      </w:r>
      <w:r w:rsidR="00BA6265" w:rsidRPr="00FB5617">
        <w:rPr>
          <w:rFonts w:ascii="Courier New" w:hAnsi="Courier New" w:cs="Courier New"/>
        </w:rPr>
        <w:t>14 |</w:t>
      </w:r>
      <w:r>
        <w:rPr>
          <w:rFonts w:ascii="Courier New" w:hAnsi="Courier New" w:cs="Courier New"/>
        </w:rPr>
        <w:tab/>
      </w:r>
      <w:r w:rsidR="00BA6265" w:rsidRPr="00FB5617">
        <w:rPr>
          <w:rFonts w:ascii="Courier New" w:hAnsi="Courier New" w:cs="Courier New"/>
        </w:rPr>
        <w:t>68</w:t>
      </w:r>
    </w:p>
    <w:p w:rsidR="009B6740" w:rsidRPr="00FB5617" w:rsidRDefault="00963B31" w:rsidP="009B6740">
      <w:pPr>
        <w:tabs>
          <w:tab w:val="left" w:pos="1276"/>
          <w:tab w:val="left" w:pos="2977"/>
          <w:tab w:val="left" w:pos="4536"/>
          <w:tab w:val="left" w:pos="6237"/>
          <w:tab w:val="left" w:pos="7938"/>
        </w:tabs>
        <w:rPr>
          <w:rFonts w:ascii="Courier New" w:hAnsi="Courier New" w:cs="Courier New"/>
        </w:rPr>
      </w:pPr>
      <w:r>
        <w:rPr>
          <w:rFonts w:ascii="Courier New" w:hAnsi="Courier New" w:cs="Courier New"/>
        </w:rPr>
        <w:tab/>
      </w:r>
      <w:r w:rsidR="00BA6265" w:rsidRPr="00FB5617">
        <w:rPr>
          <w:rFonts w:ascii="Courier New" w:hAnsi="Courier New" w:cs="Courier New"/>
        </w:rPr>
        <w:t>3 |</w:t>
      </w:r>
      <w:r>
        <w:rPr>
          <w:rFonts w:ascii="Courier New" w:hAnsi="Courier New" w:cs="Courier New"/>
        </w:rPr>
        <w:tab/>
      </w:r>
      <w:r w:rsidR="00BA6265" w:rsidRPr="00FB5617">
        <w:rPr>
          <w:rFonts w:ascii="Courier New" w:hAnsi="Courier New" w:cs="Courier New"/>
        </w:rPr>
        <w:t>0</w:t>
      </w:r>
      <w:r w:rsidR="00BF3210">
        <w:rPr>
          <w:rFonts w:ascii="Courier New" w:hAnsi="Courier New" w:cs="Courier New"/>
        </w:rPr>
        <w:tab/>
      </w:r>
      <w:r w:rsidR="00BA6265" w:rsidRPr="00FB5617">
        <w:rPr>
          <w:rFonts w:ascii="Courier New" w:hAnsi="Courier New" w:cs="Courier New"/>
        </w:rPr>
        <w:t>3</w:t>
      </w:r>
      <w:r w:rsidR="009B6740">
        <w:rPr>
          <w:rFonts w:ascii="Courier New" w:hAnsi="Courier New" w:cs="Courier New"/>
        </w:rPr>
        <w:tab/>
      </w:r>
      <w:r w:rsidR="00BA6265" w:rsidRPr="00FB5617">
        <w:rPr>
          <w:rFonts w:ascii="Courier New" w:hAnsi="Courier New" w:cs="Courier New"/>
        </w:rPr>
        <w:t>1 |</w:t>
      </w:r>
      <w:r w:rsidR="009B6740">
        <w:rPr>
          <w:rFonts w:ascii="Courier New" w:hAnsi="Courier New" w:cs="Courier New"/>
        </w:rPr>
        <w:tab/>
      </w:r>
      <w:r w:rsidR="00BA6265" w:rsidRPr="00FB5617">
        <w:rPr>
          <w:rFonts w:ascii="Courier New" w:hAnsi="Courier New" w:cs="Courier New"/>
        </w:rPr>
        <w:t>4</w:t>
      </w:r>
    </w:p>
    <w:p w:rsidR="009B6740" w:rsidRPr="00FB5617" w:rsidRDefault="009B6740" w:rsidP="009B6740">
      <w:pPr>
        <w:tabs>
          <w:tab w:val="left" w:pos="1276"/>
          <w:tab w:val="left" w:pos="2977"/>
          <w:tab w:val="left" w:pos="4395"/>
          <w:tab w:val="left" w:pos="6096"/>
          <w:tab w:val="left" w:pos="7797"/>
        </w:tabs>
        <w:rPr>
          <w:rFonts w:ascii="Courier New" w:hAnsi="Courier New" w:cs="Courier New"/>
        </w:rPr>
      </w:pPr>
      <w:r>
        <w:rPr>
          <w:rFonts w:ascii="Courier New" w:hAnsi="Courier New" w:cs="Courier New"/>
        </w:rPr>
        <w:tab/>
      </w:r>
      <w:r w:rsidR="00BA6265" w:rsidRPr="00FB5617">
        <w:rPr>
          <w:rFonts w:ascii="Courier New" w:hAnsi="Courier New" w:cs="Courier New"/>
        </w:rPr>
        <w:t>4 |</w:t>
      </w:r>
      <w:r>
        <w:rPr>
          <w:rFonts w:ascii="Courier New" w:hAnsi="Courier New" w:cs="Courier New"/>
        </w:rPr>
        <w:tab/>
      </w:r>
      <w:r w:rsidR="00BA6265" w:rsidRPr="00FB5617">
        <w:rPr>
          <w:rFonts w:ascii="Courier New" w:hAnsi="Courier New" w:cs="Courier New"/>
        </w:rPr>
        <w:t>0</w:t>
      </w:r>
      <w:r>
        <w:rPr>
          <w:rFonts w:ascii="Courier New" w:hAnsi="Courier New" w:cs="Courier New"/>
        </w:rPr>
        <w:tab/>
      </w:r>
      <w:r w:rsidR="00BA6265" w:rsidRPr="00FB5617">
        <w:rPr>
          <w:rFonts w:ascii="Courier New" w:hAnsi="Courier New" w:cs="Courier New"/>
        </w:rPr>
        <w:t>15</w:t>
      </w:r>
      <w:r>
        <w:rPr>
          <w:rFonts w:ascii="Courier New" w:hAnsi="Courier New" w:cs="Courier New"/>
        </w:rPr>
        <w:tab/>
      </w:r>
      <w:r w:rsidR="00BA6265" w:rsidRPr="00FB5617">
        <w:rPr>
          <w:rFonts w:ascii="Courier New" w:hAnsi="Courier New" w:cs="Courier New"/>
        </w:rPr>
        <w:t>10 |</w:t>
      </w:r>
      <w:r>
        <w:rPr>
          <w:rFonts w:ascii="Courier New" w:hAnsi="Courier New" w:cs="Courier New"/>
        </w:rPr>
        <w:tab/>
      </w:r>
      <w:r w:rsidR="00BA6265" w:rsidRPr="00FB5617">
        <w:rPr>
          <w:rFonts w:ascii="Courier New" w:hAnsi="Courier New" w:cs="Courier New"/>
        </w:rPr>
        <w:t>25</w:t>
      </w:r>
    </w:p>
    <w:p w:rsidR="009B6740" w:rsidRPr="00FB5617" w:rsidRDefault="009B6740" w:rsidP="009B6740">
      <w:pPr>
        <w:tabs>
          <w:tab w:val="left" w:pos="1276"/>
          <w:tab w:val="left" w:pos="2977"/>
          <w:tab w:val="left" w:pos="4395"/>
          <w:tab w:val="left" w:pos="6237"/>
          <w:tab w:val="left" w:pos="7797"/>
        </w:tabs>
        <w:rPr>
          <w:rFonts w:ascii="Courier New" w:hAnsi="Courier New" w:cs="Courier New"/>
        </w:rPr>
      </w:pPr>
      <w:r>
        <w:rPr>
          <w:rFonts w:ascii="Courier New" w:hAnsi="Courier New" w:cs="Courier New"/>
        </w:rPr>
        <w:tab/>
      </w:r>
      <w:r w:rsidR="00BA6265" w:rsidRPr="00FB5617">
        <w:rPr>
          <w:rFonts w:ascii="Courier New" w:hAnsi="Courier New" w:cs="Courier New"/>
        </w:rPr>
        <w:t>5 |</w:t>
      </w:r>
      <w:r>
        <w:rPr>
          <w:rFonts w:ascii="Courier New" w:hAnsi="Courier New" w:cs="Courier New"/>
        </w:rPr>
        <w:tab/>
      </w:r>
      <w:r w:rsidR="00BA6265" w:rsidRPr="00FB5617">
        <w:rPr>
          <w:rFonts w:ascii="Courier New" w:hAnsi="Courier New" w:cs="Courier New"/>
        </w:rPr>
        <w:t>0</w:t>
      </w:r>
      <w:r>
        <w:rPr>
          <w:rFonts w:ascii="Courier New" w:hAnsi="Courier New" w:cs="Courier New"/>
        </w:rPr>
        <w:tab/>
      </w:r>
      <w:r w:rsidR="00BA6265" w:rsidRPr="00FB5617">
        <w:rPr>
          <w:rFonts w:ascii="Courier New" w:hAnsi="Courier New" w:cs="Courier New"/>
        </w:rPr>
        <w:t>12</w:t>
      </w:r>
      <w:r>
        <w:rPr>
          <w:rFonts w:ascii="Courier New" w:hAnsi="Courier New" w:cs="Courier New"/>
        </w:rPr>
        <w:tab/>
      </w:r>
      <w:r w:rsidR="00BA6265" w:rsidRPr="00FB5617">
        <w:rPr>
          <w:rFonts w:ascii="Courier New" w:hAnsi="Courier New" w:cs="Courier New"/>
        </w:rPr>
        <w:t>5 |</w:t>
      </w:r>
      <w:r>
        <w:rPr>
          <w:rFonts w:ascii="Courier New" w:hAnsi="Courier New" w:cs="Courier New"/>
        </w:rPr>
        <w:tab/>
      </w:r>
      <w:r w:rsidR="00BA6265" w:rsidRPr="00FB5617">
        <w:rPr>
          <w:rFonts w:ascii="Courier New" w:hAnsi="Courier New" w:cs="Courier New"/>
        </w:rPr>
        <w:t>17</w:t>
      </w:r>
    </w:p>
    <w:p w:rsidR="009B6740" w:rsidRPr="00FB5617" w:rsidRDefault="009B6740" w:rsidP="009B6740">
      <w:pPr>
        <w:tabs>
          <w:tab w:val="left" w:pos="1276"/>
          <w:tab w:val="left" w:pos="2977"/>
          <w:tab w:val="left" w:pos="4395"/>
          <w:tab w:val="left" w:pos="6237"/>
          <w:tab w:val="left" w:pos="7797"/>
        </w:tabs>
        <w:rPr>
          <w:rFonts w:ascii="Courier New" w:hAnsi="Courier New" w:cs="Courier New"/>
        </w:rPr>
      </w:pPr>
      <w:r>
        <w:rPr>
          <w:rFonts w:ascii="Courier New" w:hAnsi="Courier New" w:cs="Courier New"/>
        </w:rPr>
        <w:tab/>
      </w:r>
      <w:r w:rsidR="00BA6265" w:rsidRPr="00FB5617">
        <w:rPr>
          <w:rFonts w:ascii="Courier New" w:hAnsi="Courier New" w:cs="Courier New"/>
        </w:rPr>
        <w:t>6 |</w:t>
      </w:r>
      <w:r>
        <w:rPr>
          <w:rFonts w:ascii="Courier New" w:hAnsi="Courier New" w:cs="Courier New"/>
        </w:rPr>
        <w:tab/>
      </w:r>
      <w:r w:rsidR="00BA6265" w:rsidRPr="00FB5617">
        <w:rPr>
          <w:rFonts w:ascii="Courier New" w:hAnsi="Courier New" w:cs="Courier New"/>
        </w:rPr>
        <w:t>0</w:t>
      </w:r>
      <w:r>
        <w:rPr>
          <w:rFonts w:ascii="Courier New" w:hAnsi="Courier New" w:cs="Courier New"/>
        </w:rPr>
        <w:tab/>
      </w:r>
      <w:r w:rsidR="00BA6265" w:rsidRPr="00FB5617">
        <w:rPr>
          <w:rFonts w:ascii="Courier New" w:hAnsi="Courier New" w:cs="Courier New"/>
        </w:rPr>
        <w:t>22</w:t>
      </w:r>
      <w:r>
        <w:rPr>
          <w:rFonts w:ascii="Courier New" w:hAnsi="Courier New" w:cs="Courier New"/>
        </w:rPr>
        <w:tab/>
      </w:r>
      <w:r w:rsidR="00BA6265" w:rsidRPr="00FB5617">
        <w:rPr>
          <w:rFonts w:ascii="Courier New" w:hAnsi="Courier New" w:cs="Courier New"/>
        </w:rPr>
        <w:t>5 |</w:t>
      </w:r>
      <w:r>
        <w:rPr>
          <w:rFonts w:ascii="Courier New" w:hAnsi="Courier New" w:cs="Courier New"/>
        </w:rPr>
        <w:tab/>
      </w:r>
      <w:r w:rsidR="00BA6265" w:rsidRPr="00FB5617">
        <w:rPr>
          <w:rFonts w:ascii="Courier New" w:hAnsi="Courier New" w:cs="Courier New"/>
        </w:rPr>
        <w:t>27</w:t>
      </w:r>
    </w:p>
    <w:p w:rsidR="009B6740" w:rsidRPr="00FB5617" w:rsidRDefault="009B6740" w:rsidP="009B6740">
      <w:pPr>
        <w:tabs>
          <w:tab w:val="left" w:pos="1276"/>
          <w:tab w:val="left" w:pos="2977"/>
          <w:tab w:val="left" w:pos="4395"/>
          <w:tab w:val="left" w:pos="6237"/>
          <w:tab w:val="left" w:pos="7797"/>
        </w:tabs>
        <w:rPr>
          <w:rFonts w:ascii="Courier New" w:hAnsi="Courier New" w:cs="Courier New"/>
        </w:rPr>
      </w:pPr>
      <w:r>
        <w:rPr>
          <w:rFonts w:ascii="Courier New" w:hAnsi="Courier New" w:cs="Courier New"/>
        </w:rPr>
        <w:tab/>
      </w:r>
      <w:r w:rsidR="00BA6265" w:rsidRPr="00FB5617">
        <w:rPr>
          <w:rFonts w:ascii="Courier New" w:hAnsi="Courier New" w:cs="Courier New"/>
        </w:rPr>
        <w:t>7 |</w:t>
      </w:r>
      <w:r>
        <w:rPr>
          <w:rFonts w:ascii="Courier New" w:hAnsi="Courier New" w:cs="Courier New"/>
        </w:rPr>
        <w:tab/>
      </w:r>
      <w:r w:rsidR="00BA6265" w:rsidRPr="00FB5617">
        <w:rPr>
          <w:rFonts w:ascii="Courier New" w:hAnsi="Courier New" w:cs="Courier New"/>
        </w:rPr>
        <w:t>0</w:t>
      </w:r>
      <w:r>
        <w:rPr>
          <w:rFonts w:ascii="Courier New" w:hAnsi="Courier New" w:cs="Courier New"/>
        </w:rPr>
        <w:tab/>
      </w:r>
      <w:r w:rsidR="00BA6265" w:rsidRPr="00FB5617">
        <w:rPr>
          <w:rFonts w:ascii="Courier New" w:hAnsi="Courier New" w:cs="Courier New"/>
        </w:rPr>
        <w:t>20</w:t>
      </w:r>
      <w:r>
        <w:rPr>
          <w:rFonts w:ascii="Courier New" w:hAnsi="Courier New" w:cs="Courier New"/>
        </w:rPr>
        <w:tab/>
      </w:r>
      <w:r w:rsidR="00BA6265" w:rsidRPr="00FB5617">
        <w:rPr>
          <w:rFonts w:ascii="Courier New" w:hAnsi="Courier New" w:cs="Courier New"/>
        </w:rPr>
        <w:t>3 |</w:t>
      </w:r>
      <w:r>
        <w:rPr>
          <w:rFonts w:ascii="Courier New" w:hAnsi="Courier New" w:cs="Courier New"/>
        </w:rPr>
        <w:tab/>
      </w:r>
      <w:r w:rsidR="00BA6265" w:rsidRPr="00FB5617">
        <w:rPr>
          <w:rFonts w:ascii="Courier New" w:hAnsi="Courier New" w:cs="Courier New"/>
        </w:rPr>
        <w:t>23</w:t>
      </w:r>
    </w:p>
    <w:p w:rsidR="009B6740" w:rsidRPr="00FB5617" w:rsidRDefault="009B6740" w:rsidP="009B6740">
      <w:pPr>
        <w:tabs>
          <w:tab w:val="left" w:pos="1276"/>
          <w:tab w:val="left" w:pos="2977"/>
          <w:tab w:val="left" w:pos="4536"/>
          <w:tab w:val="left" w:pos="6237"/>
          <w:tab w:val="left" w:pos="7938"/>
        </w:tabs>
        <w:rPr>
          <w:rFonts w:ascii="Courier New" w:hAnsi="Courier New" w:cs="Courier New"/>
        </w:rPr>
      </w:pPr>
      <w:r>
        <w:rPr>
          <w:rFonts w:ascii="Courier New" w:hAnsi="Courier New" w:cs="Courier New"/>
        </w:rPr>
        <w:tab/>
      </w:r>
      <w:r w:rsidR="00BA6265" w:rsidRPr="00FB5617">
        <w:rPr>
          <w:rFonts w:ascii="Courier New" w:hAnsi="Courier New" w:cs="Courier New"/>
        </w:rPr>
        <w:t>8 |</w:t>
      </w:r>
      <w:r>
        <w:rPr>
          <w:rFonts w:ascii="Courier New" w:hAnsi="Courier New" w:cs="Courier New"/>
        </w:rPr>
        <w:tab/>
      </w:r>
      <w:r w:rsidR="00BA6265" w:rsidRPr="00FB5617">
        <w:rPr>
          <w:rFonts w:ascii="Courier New" w:hAnsi="Courier New" w:cs="Courier New"/>
        </w:rPr>
        <w:t>0</w:t>
      </w:r>
      <w:r>
        <w:rPr>
          <w:rFonts w:ascii="Courier New" w:hAnsi="Courier New" w:cs="Courier New"/>
        </w:rPr>
        <w:tab/>
      </w:r>
      <w:r w:rsidR="00BA6265" w:rsidRPr="00FB5617">
        <w:rPr>
          <w:rFonts w:ascii="Courier New" w:hAnsi="Courier New" w:cs="Courier New"/>
        </w:rPr>
        <w:t>2</w:t>
      </w:r>
      <w:r>
        <w:rPr>
          <w:rFonts w:ascii="Courier New" w:hAnsi="Courier New" w:cs="Courier New"/>
        </w:rPr>
        <w:tab/>
      </w:r>
      <w:r w:rsidR="00BA6265" w:rsidRPr="00FB5617">
        <w:rPr>
          <w:rFonts w:ascii="Courier New" w:hAnsi="Courier New" w:cs="Courier New"/>
        </w:rPr>
        <w:t>0 |</w:t>
      </w:r>
      <w:r>
        <w:rPr>
          <w:rFonts w:ascii="Courier New" w:hAnsi="Courier New" w:cs="Courier New"/>
        </w:rPr>
        <w:tab/>
      </w:r>
      <w:r w:rsidR="00BA6265" w:rsidRPr="00FB5617">
        <w:rPr>
          <w:rFonts w:ascii="Courier New" w:hAnsi="Courier New" w:cs="Courier New"/>
        </w:rPr>
        <w:t>2</w:t>
      </w:r>
    </w:p>
    <w:p w:rsidR="009B6740" w:rsidRPr="00FB5617" w:rsidRDefault="009B6740" w:rsidP="009B6740">
      <w:pPr>
        <w:tabs>
          <w:tab w:val="left" w:pos="1276"/>
          <w:tab w:val="left" w:pos="2977"/>
          <w:tab w:val="left" w:pos="4536"/>
          <w:tab w:val="left" w:pos="6237"/>
          <w:tab w:val="left" w:pos="7938"/>
        </w:tabs>
        <w:rPr>
          <w:rFonts w:ascii="Courier New" w:hAnsi="Courier New" w:cs="Courier New"/>
        </w:rPr>
      </w:pPr>
      <w:r>
        <w:rPr>
          <w:rFonts w:ascii="Courier New" w:hAnsi="Courier New" w:cs="Courier New"/>
        </w:rPr>
        <w:tab/>
      </w:r>
      <w:r w:rsidR="00BA6265" w:rsidRPr="00FB5617">
        <w:rPr>
          <w:rFonts w:ascii="Courier New" w:hAnsi="Courier New" w:cs="Courier New"/>
        </w:rPr>
        <w:t>9 |</w:t>
      </w:r>
      <w:r>
        <w:rPr>
          <w:rFonts w:ascii="Courier New" w:hAnsi="Courier New" w:cs="Courier New"/>
        </w:rPr>
        <w:tab/>
      </w:r>
      <w:r w:rsidR="00BA6265" w:rsidRPr="00FB5617">
        <w:rPr>
          <w:rFonts w:ascii="Courier New" w:hAnsi="Courier New" w:cs="Courier New"/>
        </w:rPr>
        <w:t>0</w:t>
      </w:r>
      <w:r>
        <w:rPr>
          <w:rFonts w:ascii="Courier New" w:hAnsi="Courier New" w:cs="Courier New"/>
        </w:rPr>
        <w:tab/>
      </w:r>
      <w:r w:rsidR="00BA6265" w:rsidRPr="00FB5617">
        <w:rPr>
          <w:rFonts w:ascii="Courier New" w:hAnsi="Courier New" w:cs="Courier New"/>
        </w:rPr>
        <w:t>1</w:t>
      </w:r>
      <w:r>
        <w:rPr>
          <w:rFonts w:ascii="Courier New" w:hAnsi="Courier New" w:cs="Courier New"/>
        </w:rPr>
        <w:tab/>
      </w:r>
      <w:r w:rsidR="00BA6265" w:rsidRPr="00FB5617">
        <w:rPr>
          <w:rFonts w:ascii="Courier New" w:hAnsi="Courier New" w:cs="Courier New"/>
        </w:rPr>
        <w:t>0 |</w:t>
      </w:r>
      <w:r>
        <w:rPr>
          <w:rFonts w:ascii="Courier New" w:hAnsi="Courier New" w:cs="Courier New"/>
        </w:rPr>
        <w:tab/>
      </w:r>
      <w:r w:rsidR="00BA6265" w:rsidRPr="00FB5617">
        <w:rPr>
          <w:rFonts w:ascii="Courier New" w:hAnsi="Courier New" w:cs="Courier New"/>
        </w:rPr>
        <w:t>1</w:t>
      </w:r>
    </w:p>
    <w:p w:rsidR="009B6740" w:rsidRPr="00FB5617" w:rsidRDefault="009B6740" w:rsidP="009B6740">
      <w:pPr>
        <w:tabs>
          <w:tab w:val="left" w:pos="1134"/>
          <w:tab w:val="left" w:pos="2977"/>
          <w:tab w:val="left" w:pos="4395"/>
          <w:tab w:val="left" w:pos="6096"/>
          <w:tab w:val="left" w:pos="7797"/>
        </w:tabs>
        <w:rPr>
          <w:rFonts w:ascii="Courier New" w:hAnsi="Courier New" w:cs="Courier New"/>
        </w:rPr>
      </w:pPr>
      <w:r>
        <w:rPr>
          <w:rFonts w:ascii="Courier New" w:hAnsi="Courier New" w:cs="Courier New"/>
        </w:rPr>
        <w:tab/>
      </w:r>
      <w:r w:rsidR="00BA6265" w:rsidRPr="00FB5617">
        <w:rPr>
          <w:rFonts w:ascii="Courier New" w:hAnsi="Courier New" w:cs="Courier New"/>
        </w:rPr>
        <w:t>12 |</w:t>
      </w:r>
      <w:r>
        <w:rPr>
          <w:rFonts w:ascii="Courier New" w:hAnsi="Courier New" w:cs="Courier New"/>
        </w:rPr>
        <w:tab/>
      </w:r>
      <w:r w:rsidR="00BA6265" w:rsidRPr="00FB5617">
        <w:rPr>
          <w:rFonts w:ascii="Courier New" w:hAnsi="Courier New" w:cs="Courier New"/>
        </w:rPr>
        <w:t>1</w:t>
      </w:r>
      <w:r>
        <w:rPr>
          <w:rFonts w:ascii="Courier New" w:hAnsi="Courier New" w:cs="Courier New"/>
        </w:rPr>
        <w:tab/>
      </w:r>
      <w:r w:rsidR="00BA6265" w:rsidRPr="00FB5617">
        <w:rPr>
          <w:rFonts w:ascii="Courier New" w:hAnsi="Courier New" w:cs="Courier New"/>
        </w:rPr>
        <w:t>22</w:t>
      </w:r>
      <w:r>
        <w:rPr>
          <w:rFonts w:ascii="Courier New" w:hAnsi="Courier New" w:cs="Courier New"/>
        </w:rPr>
        <w:tab/>
      </w:r>
      <w:r w:rsidR="00BA6265" w:rsidRPr="00FB5617">
        <w:rPr>
          <w:rFonts w:ascii="Courier New" w:hAnsi="Courier New" w:cs="Courier New"/>
        </w:rPr>
        <w:t>28 |</w:t>
      </w:r>
      <w:r>
        <w:rPr>
          <w:rFonts w:ascii="Courier New" w:hAnsi="Courier New" w:cs="Courier New"/>
        </w:rPr>
        <w:tab/>
      </w:r>
      <w:r w:rsidR="00BA6265" w:rsidRPr="00FB5617">
        <w:rPr>
          <w:rFonts w:ascii="Courier New" w:hAnsi="Courier New" w:cs="Courier New"/>
        </w:rPr>
        <w:t>51</w:t>
      </w:r>
    </w:p>
    <w:p w:rsidR="009B6740" w:rsidRPr="00FB5617" w:rsidRDefault="009B6740" w:rsidP="009B6740">
      <w:pPr>
        <w:tabs>
          <w:tab w:val="left" w:pos="1134"/>
          <w:tab w:val="left" w:pos="2977"/>
          <w:tab w:val="left" w:pos="4536"/>
          <w:tab w:val="left" w:pos="6096"/>
          <w:tab w:val="left" w:pos="7797"/>
        </w:tabs>
        <w:rPr>
          <w:rFonts w:ascii="Courier New" w:hAnsi="Courier New" w:cs="Courier New"/>
        </w:rPr>
      </w:pPr>
      <w:r>
        <w:rPr>
          <w:rFonts w:ascii="Courier New" w:hAnsi="Courier New" w:cs="Courier New"/>
        </w:rPr>
        <w:tab/>
      </w:r>
      <w:r w:rsidR="00BA6265" w:rsidRPr="00FB5617">
        <w:rPr>
          <w:rFonts w:ascii="Courier New" w:hAnsi="Courier New" w:cs="Courier New"/>
        </w:rPr>
        <w:t>15 |</w:t>
      </w:r>
      <w:r>
        <w:rPr>
          <w:rFonts w:ascii="Courier New" w:hAnsi="Courier New" w:cs="Courier New"/>
        </w:rPr>
        <w:tab/>
      </w:r>
      <w:r w:rsidR="00BA6265" w:rsidRPr="00FB5617">
        <w:rPr>
          <w:rFonts w:ascii="Courier New" w:hAnsi="Courier New" w:cs="Courier New"/>
        </w:rPr>
        <w:t>0</w:t>
      </w:r>
      <w:r>
        <w:rPr>
          <w:rFonts w:ascii="Courier New" w:hAnsi="Courier New" w:cs="Courier New"/>
        </w:rPr>
        <w:tab/>
      </w:r>
      <w:r w:rsidR="00BA6265" w:rsidRPr="00FB5617">
        <w:rPr>
          <w:rFonts w:ascii="Courier New" w:hAnsi="Courier New" w:cs="Courier New"/>
        </w:rPr>
        <w:t>0</w:t>
      </w:r>
      <w:r>
        <w:rPr>
          <w:rFonts w:ascii="Courier New" w:hAnsi="Courier New" w:cs="Courier New"/>
        </w:rPr>
        <w:tab/>
      </w:r>
      <w:r w:rsidR="00BA6265" w:rsidRPr="00FB5617">
        <w:rPr>
          <w:rFonts w:ascii="Courier New" w:hAnsi="Courier New" w:cs="Courier New"/>
        </w:rPr>
        <w:t>76 |</w:t>
      </w:r>
      <w:r>
        <w:rPr>
          <w:rFonts w:ascii="Courier New" w:hAnsi="Courier New" w:cs="Courier New"/>
        </w:rPr>
        <w:tab/>
      </w:r>
      <w:r w:rsidR="00BA6265" w:rsidRPr="00FB5617">
        <w:rPr>
          <w:rFonts w:ascii="Courier New" w:hAnsi="Courier New" w:cs="Courier New"/>
        </w:rPr>
        <w:t>76</w:t>
      </w:r>
    </w:p>
    <w:p w:rsidR="009B6740" w:rsidRPr="00FB5617" w:rsidRDefault="009B6740" w:rsidP="009B6740">
      <w:pPr>
        <w:tabs>
          <w:tab w:val="left" w:pos="1134"/>
          <w:tab w:val="left" w:pos="2977"/>
          <w:tab w:val="left" w:pos="4536"/>
          <w:tab w:val="left" w:pos="6096"/>
          <w:tab w:val="left" w:pos="7797"/>
        </w:tabs>
        <w:rPr>
          <w:rFonts w:ascii="Courier New" w:hAnsi="Courier New" w:cs="Courier New"/>
        </w:rPr>
      </w:pPr>
      <w:r>
        <w:rPr>
          <w:rFonts w:ascii="Courier New" w:hAnsi="Courier New" w:cs="Courier New"/>
        </w:rPr>
        <w:tab/>
      </w:r>
      <w:r w:rsidR="00BA6265" w:rsidRPr="00FB5617">
        <w:rPr>
          <w:rFonts w:ascii="Courier New" w:hAnsi="Courier New" w:cs="Courier New"/>
        </w:rPr>
        <w:t>16 |</w:t>
      </w:r>
      <w:r>
        <w:rPr>
          <w:rFonts w:ascii="Courier New" w:hAnsi="Courier New" w:cs="Courier New"/>
        </w:rPr>
        <w:tab/>
      </w:r>
      <w:r w:rsidR="00BA6265" w:rsidRPr="00FB5617">
        <w:rPr>
          <w:rFonts w:ascii="Courier New" w:hAnsi="Courier New" w:cs="Courier New"/>
        </w:rPr>
        <w:t>0</w:t>
      </w:r>
      <w:r>
        <w:rPr>
          <w:rFonts w:ascii="Courier New" w:hAnsi="Courier New" w:cs="Courier New"/>
        </w:rPr>
        <w:tab/>
      </w:r>
      <w:r w:rsidR="00BA6265" w:rsidRPr="00FB5617">
        <w:rPr>
          <w:rFonts w:ascii="Courier New" w:hAnsi="Courier New" w:cs="Courier New"/>
        </w:rPr>
        <w:t>0</w:t>
      </w:r>
      <w:r>
        <w:rPr>
          <w:rFonts w:ascii="Courier New" w:hAnsi="Courier New" w:cs="Courier New"/>
        </w:rPr>
        <w:tab/>
      </w:r>
      <w:r w:rsidR="00BA6265" w:rsidRPr="00FB5617">
        <w:rPr>
          <w:rFonts w:ascii="Courier New" w:hAnsi="Courier New" w:cs="Courier New"/>
        </w:rPr>
        <w:t>13 |</w:t>
      </w:r>
      <w:r>
        <w:rPr>
          <w:rFonts w:ascii="Courier New" w:hAnsi="Courier New" w:cs="Courier New"/>
        </w:rPr>
        <w:tab/>
      </w:r>
      <w:r w:rsidR="00BA6265" w:rsidRPr="00FB5617">
        <w:rPr>
          <w:rFonts w:ascii="Courier New" w:hAnsi="Courier New" w:cs="Courier New"/>
        </w:rPr>
        <w:t>13</w:t>
      </w:r>
    </w:p>
    <w:p w:rsidR="009B6740" w:rsidRPr="00FB5617" w:rsidRDefault="009B6740" w:rsidP="009B6740">
      <w:pPr>
        <w:tabs>
          <w:tab w:val="left" w:pos="1134"/>
          <w:tab w:val="left" w:pos="2977"/>
          <w:tab w:val="left" w:pos="4536"/>
          <w:tab w:val="left" w:pos="6096"/>
          <w:tab w:val="left" w:pos="7797"/>
        </w:tabs>
        <w:rPr>
          <w:rFonts w:ascii="Courier New" w:hAnsi="Courier New" w:cs="Courier New"/>
        </w:rPr>
      </w:pPr>
      <w:r>
        <w:rPr>
          <w:rFonts w:ascii="Courier New" w:hAnsi="Courier New" w:cs="Courier New"/>
        </w:rPr>
        <w:tab/>
      </w:r>
      <w:r w:rsidR="00BA6265" w:rsidRPr="00FB5617">
        <w:rPr>
          <w:rFonts w:ascii="Courier New" w:hAnsi="Courier New" w:cs="Courier New"/>
        </w:rPr>
        <w:t>17 |</w:t>
      </w:r>
      <w:r>
        <w:rPr>
          <w:rFonts w:ascii="Courier New" w:hAnsi="Courier New" w:cs="Courier New"/>
        </w:rPr>
        <w:tab/>
      </w:r>
      <w:r w:rsidR="00BA6265" w:rsidRPr="00FB5617">
        <w:rPr>
          <w:rFonts w:ascii="Courier New" w:hAnsi="Courier New" w:cs="Courier New"/>
        </w:rPr>
        <w:t>0</w:t>
      </w:r>
      <w:r>
        <w:rPr>
          <w:rFonts w:ascii="Courier New" w:hAnsi="Courier New" w:cs="Courier New"/>
        </w:rPr>
        <w:tab/>
      </w:r>
      <w:r w:rsidR="00BA6265" w:rsidRPr="00FB5617">
        <w:rPr>
          <w:rFonts w:ascii="Courier New" w:hAnsi="Courier New" w:cs="Courier New"/>
        </w:rPr>
        <w:t>0</w:t>
      </w:r>
      <w:r>
        <w:rPr>
          <w:rFonts w:ascii="Courier New" w:hAnsi="Courier New" w:cs="Courier New"/>
        </w:rPr>
        <w:tab/>
      </w:r>
      <w:r w:rsidR="00BA6265" w:rsidRPr="00FB5617">
        <w:rPr>
          <w:rFonts w:ascii="Courier New" w:hAnsi="Courier New" w:cs="Courier New"/>
        </w:rPr>
        <w:t>15 |</w:t>
      </w:r>
      <w:r>
        <w:rPr>
          <w:rFonts w:ascii="Courier New" w:hAnsi="Courier New" w:cs="Courier New"/>
        </w:rPr>
        <w:tab/>
      </w:r>
      <w:r w:rsidR="00BA6265" w:rsidRPr="00FB5617">
        <w:rPr>
          <w:rFonts w:ascii="Courier New" w:hAnsi="Courier New" w:cs="Courier New"/>
        </w:rPr>
        <w:t>15</w:t>
      </w:r>
    </w:p>
    <w:p w:rsidR="009B6740" w:rsidRPr="00FB5617" w:rsidRDefault="009B6740" w:rsidP="009B6740">
      <w:pPr>
        <w:tabs>
          <w:tab w:val="left" w:pos="1134"/>
          <w:tab w:val="left" w:pos="2977"/>
          <w:tab w:val="left" w:pos="4536"/>
          <w:tab w:val="left" w:pos="6096"/>
          <w:tab w:val="left" w:pos="7797"/>
        </w:tabs>
        <w:rPr>
          <w:rFonts w:ascii="Courier New" w:hAnsi="Courier New" w:cs="Courier New"/>
        </w:rPr>
      </w:pPr>
      <w:r>
        <w:rPr>
          <w:rFonts w:ascii="Courier New" w:hAnsi="Courier New" w:cs="Courier New"/>
        </w:rPr>
        <w:tab/>
      </w:r>
      <w:r w:rsidR="00BA6265" w:rsidRPr="00FB5617">
        <w:rPr>
          <w:rFonts w:ascii="Courier New" w:hAnsi="Courier New" w:cs="Courier New"/>
        </w:rPr>
        <w:t>18 |</w:t>
      </w:r>
      <w:r>
        <w:rPr>
          <w:rFonts w:ascii="Courier New" w:hAnsi="Courier New" w:cs="Courier New"/>
        </w:rPr>
        <w:tab/>
      </w:r>
      <w:r w:rsidR="00BA6265" w:rsidRPr="00FB5617">
        <w:rPr>
          <w:rFonts w:ascii="Courier New" w:hAnsi="Courier New" w:cs="Courier New"/>
        </w:rPr>
        <w:t>0</w:t>
      </w:r>
      <w:r>
        <w:rPr>
          <w:rFonts w:ascii="Courier New" w:hAnsi="Courier New" w:cs="Courier New"/>
        </w:rPr>
        <w:tab/>
      </w:r>
      <w:r w:rsidR="00BA6265" w:rsidRPr="00FB5617">
        <w:rPr>
          <w:rFonts w:ascii="Courier New" w:hAnsi="Courier New" w:cs="Courier New"/>
        </w:rPr>
        <w:t>0</w:t>
      </w:r>
      <w:r>
        <w:rPr>
          <w:rFonts w:ascii="Courier New" w:hAnsi="Courier New" w:cs="Courier New"/>
        </w:rPr>
        <w:tab/>
      </w:r>
      <w:r w:rsidR="00BA6265" w:rsidRPr="00FB5617">
        <w:rPr>
          <w:rFonts w:ascii="Courier New" w:hAnsi="Courier New" w:cs="Courier New"/>
        </w:rPr>
        <w:t>11 |</w:t>
      </w:r>
      <w:r>
        <w:rPr>
          <w:rFonts w:ascii="Courier New" w:hAnsi="Courier New" w:cs="Courier New"/>
        </w:rPr>
        <w:tab/>
      </w:r>
      <w:r w:rsidR="00BA6265" w:rsidRPr="00FB5617">
        <w:rPr>
          <w:rFonts w:ascii="Courier New" w:hAnsi="Courier New" w:cs="Courier New"/>
        </w:rPr>
        <w:t>11</w:t>
      </w:r>
    </w:p>
    <w:p w:rsidR="009B6740" w:rsidRPr="00FB5617" w:rsidRDefault="009B6740" w:rsidP="009B6740">
      <w:pPr>
        <w:tabs>
          <w:tab w:val="left" w:pos="1134"/>
          <w:tab w:val="left" w:pos="2977"/>
          <w:tab w:val="left" w:pos="4536"/>
          <w:tab w:val="left" w:pos="6237"/>
          <w:tab w:val="left" w:pos="7938"/>
        </w:tabs>
        <w:rPr>
          <w:rFonts w:ascii="Courier New" w:hAnsi="Courier New" w:cs="Courier New"/>
        </w:rPr>
      </w:pPr>
      <w:r>
        <w:rPr>
          <w:rFonts w:ascii="Courier New" w:hAnsi="Courier New" w:cs="Courier New"/>
        </w:rPr>
        <w:tab/>
      </w:r>
      <w:r w:rsidR="00BA6265" w:rsidRPr="00FB5617">
        <w:rPr>
          <w:rFonts w:ascii="Courier New" w:hAnsi="Courier New" w:cs="Courier New"/>
        </w:rPr>
        <w:t>19 |</w:t>
      </w:r>
      <w:r>
        <w:rPr>
          <w:rFonts w:ascii="Courier New" w:hAnsi="Courier New" w:cs="Courier New"/>
        </w:rPr>
        <w:tab/>
      </w:r>
      <w:r w:rsidR="00BA6265" w:rsidRPr="00FB5617">
        <w:rPr>
          <w:rFonts w:ascii="Courier New" w:hAnsi="Courier New" w:cs="Courier New"/>
        </w:rPr>
        <w:t>0</w:t>
      </w:r>
      <w:r>
        <w:rPr>
          <w:rFonts w:ascii="Courier New" w:hAnsi="Courier New" w:cs="Courier New"/>
        </w:rPr>
        <w:tab/>
      </w:r>
      <w:r w:rsidR="00BA6265" w:rsidRPr="00FB5617">
        <w:rPr>
          <w:rFonts w:ascii="Courier New" w:hAnsi="Courier New" w:cs="Courier New"/>
        </w:rPr>
        <w:t>0</w:t>
      </w:r>
      <w:r>
        <w:rPr>
          <w:rFonts w:ascii="Courier New" w:hAnsi="Courier New" w:cs="Courier New"/>
        </w:rPr>
        <w:tab/>
      </w:r>
      <w:r w:rsidR="00BA6265" w:rsidRPr="00FB5617">
        <w:rPr>
          <w:rFonts w:ascii="Courier New" w:hAnsi="Courier New" w:cs="Courier New"/>
        </w:rPr>
        <w:t>7 |</w:t>
      </w:r>
      <w:r>
        <w:rPr>
          <w:rFonts w:ascii="Courier New" w:hAnsi="Courier New" w:cs="Courier New"/>
        </w:rPr>
        <w:tab/>
      </w:r>
      <w:r w:rsidR="00BA6265" w:rsidRPr="00FB5617">
        <w:rPr>
          <w:rFonts w:ascii="Courier New" w:hAnsi="Courier New" w:cs="Courier New"/>
        </w:rPr>
        <w:t>7</w:t>
      </w:r>
    </w:p>
    <w:p w:rsidR="009B6740" w:rsidRPr="00FB5617" w:rsidRDefault="009B6740" w:rsidP="009B6740">
      <w:pPr>
        <w:tabs>
          <w:tab w:val="left" w:pos="1134"/>
          <w:tab w:val="left" w:pos="2977"/>
          <w:tab w:val="left" w:pos="4536"/>
          <w:tab w:val="left" w:pos="6237"/>
          <w:tab w:val="left" w:pos="7938"/>
        </w:tabs>
        <w:rPr>
          <w:rFonts w:ascii="Courier New" w:hAnsi="Courier New" w:cs="Courier New"/>
        </w:rPr>
      </w:pPr>
      <w:r>
        <w:rPr>
          <w:rFonts w:ascii="Courier New" w:hAnsi="Courier New" w:cs="Courier New"/>
        </w:rPr>
        <w:tab/>
      </w:r>
      <w:r w:rsidR="00BA6265" w:rsidRPr="00FB5617">
        <w:rPr>
          <w:rFonts w:ascii="Courier New" w:hAnsi="Courier New" w:cs="Courier New"/>
        </w:rPr>
        <w:t>20 |</w:t>
      </w:r>
      <w:r>
        <w:rPr>
          <w:rFonts w:ascii="Courier New" w:hAnsi="Courier New" w:cs="Courier New"/>
        </w:rPr>
        <w:tab/>
      </w:r>
      <w:r w:rsidR="00BA6265" w:rsidRPr="00FB5617">
        <w:rPr>
          <w:rFonts w:ascii="Courier New" w:hAnsi="Courier New" w:cs="Courier New"/>
        </w:rPr>
        <w:t>0</w:t>
      </w:r>
      <w:r>
        <w:rPr>
          <w:rFonts w:ascii="Courier New" w:hAnsi="Courier New" w:cs="Courier New"/>
        </w:rPr>
        <w:tab/>
      </w:r>
      <w:r w:rsidR="00BA6265" w:rsidRPr="00FB5617">
        <w:rPr>
          <w:rFonts w:ascii="Courier New" w:hAnsi="Courier New" w:cs="Courier New"/>
        </w:rPr>
        <w:t>0</w:t>
      </w:r>
      <w:r>
        <w:rPr>
          <w:rFonts w:ascii="Courier New" w:hAnsi="Courier New" w:cs="Courier New"/>
        </w:rPr>
        <w:tab/>
      </w:r>
      <w:r w:rsidR="00BA6265" w:rsidRPr="00FB5617">
        <w:rPr>
          <w:rFonts w:ascii="Courier New" w:hAnsi="Courier New" w:cs="Courier New"/>
        </w:rPr>
        <w:t>4 |</w:t>
      </w:r>
      <w:r>
        <w:rPr>
          <w:rFonts w:ascii="Courier New" w:hAnsi="Courier New" w:cs="Courier New"/>
        </w:rPr>
        <w:tab/>
      </w:r>
      <w:r w:rsidR="00BA6265" w:rsidRPr="00FB5617">
        <w:rPr>
          <w:rFonts w:ascii="Courier New" w:hAnsi="Courier New" w:cs="Courier New"/>
        </w:rPr>
        <w:t>4</w:t>
      </w:r>
    </w:p>
    <w:p w:rsidR="009B6740" w:rsidRPr="00FB5617" w:rsidRDefault="009B6740" w:rsidP="009B6740">
      <w:pPr>
        <w:tabs>
          <w:tab w:val="left" w:pos="1134"/>
          <w:tab w:val="left" w:pos="2977"/>
          <w:tab w:val="left" w:pos="4536"/>
          <w:tab w:val="left" w:pos="6237"/>
          <w:tab w:val="left" w:pos="7938"/>
        </w:tabs>
        <w:rPr>
          <w:rFonts w:ascii="Courier New" w:hAnsi="Courier New" w:cs="Courier New"/>
        </w:rPr>
      </w:pPr>
      <w:r>
        <w:rPr>
          <w:rFonts w:ascii="Courier New" w:hAnsi="Courier New" w:cs="Courier New"/>
        </w:rPr>
        <w:tab/>
      </w:r>
      <w:r w:rsidR="00BA6265" w:rsidRPr="00FB5617">
        <w:rPr>
          <w:rFonts w:ascii="Courier New" w:hAnsi="Courier New" w:cs="Courier New"/>
        </w:rPr>
        <w:t>21 |</w:t>
      </w:r>
      <w:r>
        <w:rPr>
          <w:rFonts w:ascii="Courier New" w:hAnsi="Courier New" w:cs="Courier New"/>
        </w:rPr>
        <w:tab/>
      </w:r>
      <w:r w:rsidR="00BA6265" w:rsidRPr="00FB5617">
        <w:rPr>
          <w:rFonts w:ascii="Courier New" w:hAnsi="Courier New" w:cs="Courier New"/>
        </w:rPr>
        <w:t>0</w:t>
      </w:r>
      <w:r>
        <w:rPr>
          <w:rFonts w:ascii="Courier New" w:hAnsi="Courier New" w:cs="Courier New"/>
        </w:rPr>
        <w:tab/>
      </w:r>
      <w:r w:rsidR="00BA6265" w:rsidRPr="00FB5617">
        <w:rPr>
          <w:rFonts w:ascii="Courier New" w:hAnsi="Courier New" w:cs="Courier New"/>
        </w:rPr>
        <w:t>0</w:t>
      </w:r>
      <w:r>
        <w:rPr>
          <w:rFonts w:ascii="Courier New" w:hAnsi="Courier New" w:cs="Courier New"/>
        </w:rPr>
        <w:tab/>
      </w:r>
      <w:r w:rsidR="00BA6265" w:rsidRPr="00FB5617">
        <w:rPr>
          <w:rFonts w:ascii="Courier New" w:hAnsi="Courier New" w:cs="Courier New"/>
        </w:rPr>
        <w:t>3 |</w:t>
      </w:r>
      <w:r>
        <w:rPr>
          <w:rFonts w:ascii="Courier New" w:hAnsi="Courier New" w:cs="Courier New"/>
        </w:rPr>
        <w:tab/>
      </w:r>
      <w:r w:rsidR="00BA6265" w:rsidRPr="00FB5617">
        <w:rPr>
          <w:rFonts w:ascii="Courier New" w:hAnsi="Courier New" w:cs="Courier New"/>
        </w:rPr>
        <w:t>3</w:t>
      </w:r>
    </w:p>
    <w:p w:rsidR="009B6740" w:rsidRPr="00FB5617" w:rsidRDefault="009B6740" w:rsidP="009B6740">
      <w:pPr>
        <w:tabs>
          <w:tab w:val="left" w:pos="1134"/>
          <w:tab w:val="left" w:pos="2977"/>
          <w:tab w:val="left" w:pos="4536"/>
          <w:tab w:val="left" w:pos="6237"/>
          <w:tab w:val="left" w:pos="7938"/>
        </w:tabs>
        <w:rPr>
          <w:rFonts w:ascii="Courier New" w:hAnsi="Courier New" w:cs="Courier New"/>
        </w:rPr>
      </w:pPr>
      <w:r>
        <w:rPr>
          <w:rFonts w:ascii="Courier New" w:hAnsi="Courier New" w:cs="Courier New"/>
        </w:rPr>
        <w:tab/>
      </w:r>
      <w:r w:rsidR="00BA6265" w:rsidRPr="00FB5617">
        <w:rPr>
          <w:rFonts w:ascii="Courier New" w:hAnsi="Courier New" w:cs="Courier New"/>
        </w:rPr>
        <w:t>22 |</w:t>
      </w:r>
      <w:r>
        <w:rPr>
          <w:rFonts w:ascii="Courier New" w:hAnsi="Courier New" w:cs="Courier New"/>
        </w:rPr>
        <w:tab/>
      </w:r>
      <w:r w:rsidR="00BA6265" w:rsidRPr="00FB5617">
        <w:rPr>
          <w:rFonts w:ascii="Courier New" w:hAnsi="Courier New" w:cs="Courier New"/>
        </w:rPr>
        <w:t>0</w:t>
      </w:r>
      <w:r>
        <w:rPr>
          <w:rFonts w:ascii="Courier New" w:hAnsi="Courier New" w:cs="Courier New"/>
        </w:rPr>
        <w:tab/>
      </w:r>
      <w:r w:rsidR="00BA6265" w:rsidRPr="00FB5617">
        <w:rPr>
          <w:rFonts w:ascii="Courier New" w:hAnsi="Courier New" w:cs="Courier New"/>
        </w:rPr>
        <w:t>0</w:t>
      </w:r>
      <w:r>
        <w:rPr>
          <w:rFonts w:ascii="Courier New" w:hAnsi="Courier New" w:cs="Courier New"/>
        </w:rPr>
        <w:tab/>
      </w:r>
      <w:r w:rsidR="00BA6265" w:rsidRPr="00FB5617">
        <w:rPr>
          <w:rFonts w:ascii="Courier New" w:hAnsi="Courier New" w:cs="Courier New"/>
        </w:rPr>
        <w:t>2 |</w:t>
      </w:r>
      <w:r>
        <w:rPr>
          <w:rFonts w:ascii="Courier New" w:hAnsi="Courier New" w:cs="Courier New"/>
        </w:rPr>
        <w:tab/>
      </w:r>
      <w:r w:rsidR="00BA6265" w:rsidRPr="00FB5617">
        <w:rPr>
          <w:rFonts w:ascii="Courier New" w:hAnsi="Courier New" w:cs="Courier New"/>
        </w:rPr>
        <w:t>2</w:t>
      </w:r>
    </w:p>
    <w:p w:rsidR="009B6740" w:rsidRPr="00FB5617" w:rsidRDefault="009B6740" w:rsidP="009B6740">
      <w:pPr>
        <w:tabs>
          <w:tab w:val="left" w:pos="1134"/>
          <w:tab w:val="left" w:pos="2977"/>
          <w:tab w:val="left" w:pos="4536"/>
          <w:tab w:val="left" w:pos="6237"/>
          <w:tab w:val="left" w:pos="7938"/>
        </w:tabs>
        <w:rPr>
          <w:rFonts w:ascii="Courier New" w:hAnsi="Courier New" w:cs="Courier New"/>
        </w:rPr>
      </w:pPr>
      <w:r>
        <w:rPr>
          <w:rFonts w:ascii="Courier New" w:hAnsi="Courier New" w:cs="Courier New"/>
        </w:rPr>
        <w:tab/>
      </w:r>
      <w:r w:rsidR="00BA6265" w:rsidRPr="00FB5617">
        <w:rPr>
          <w:rFonts w:ascii="Courier New" w:hAnsi="Courier New" w:cs="Courier New"/>
        </w:rPr>
        <w:t>23 |</w:t>
      </w:r>
      <w:r>
        <w:rPr>
          <w:rFonts w:ascii="Courier New" w:hAnsi="Courier New" w:cs="Courier New"/>
        </w:rPr>
        <w:tab/>
      </w:r>
      <w:r w:rsidR="00BA6265" w:rsidRPr="00FB5617">
        <w:rPr>
          <w:rFonts w:ascii="Courier New" w:hAnsi="Courier New" w:cs="Courier New"/>
        </w:rPr>
        <w:t>0</w:t>
      </w:r>
      <w:r>
        <w:rPr>
          <w:rFonts w:ascii="Courier New" w:hAnsi="Courier New" w:cs="Courier New"/>
        </w:rPr>
        <w:tab/>
      </w:r>
      <w:r w:rsidR="00BA6265" w:rsidRPr="00FB5617">
        <w:rPr>
          <w:rFonts w:ascii="Courier New" w:hAnsi="Courier New" w:cs="Courier New"/>
        </w:rPr>
        <w:t>0</w:t>
      </w:r>
      <w:r>
        <w:rPr>
          <w:rFonts w:ascii="Courier New" w:hAnsi="Courier New" w:cs="Courier New"/>
        </w:rPr>
        <w:tab/>
      </w:r>
      <w:r w:rsidR="00BA6265" w:rsidRPr="00FB5617">
        <w:rPr>
          <w:rFonts w:ascii="Courier New" w:hAnsi="Courier New" w:cs="Courier New"/>
        </w:rPr>
        <w:t>1 |</w:t>
      </w:r>
      <w:r>
        <w:rPr>
          <w:rFonts w:ascii="Courier New" w:hAnsi="Courier New" w:cs="Courier New"/>
        </w:rPr>
        <w:tab/>
      </w:r>
      <w:r w:rsidR="00BA6265" w:rsidRPr="00FB5617">
        <w:rPr>
          <w:rFonts w:ascii="Courier New" w:hAnsi="Courier New" w:cs="Courier New"/>
        </w:rPr>
        <w:t>1</w:t>
      </w:r>
    </w:p>
    <w:p w:rsidR="009B6740" w:rsidRPr="00FB5617" w:rsidRDefault="009B6740" w:rsidP="009B6740">
      <w:pPr>
        <w:tabs>
          <w:tab w:val="left" w:pos="1134"/>
          <w:tab w:val="left" w:pos="2977"/>
          <w:tab w:val="left" w:pos="4536"/>
          <w:tab w:val="left" w:pos="6237"/>
          <w:tab w:val="left" w:pos="7938"/>
        </w:tabs>
        <w:rPr>
          <w:rFonts w:ascii="Courier New" w:hAnsi="Courier New" w:cs="Courier New"/>
        </w:rPr>
      </w:pPr>
      <w:r>
        <w:rPr>
          <w:rFonts w:ascii="Courier New" w:hAnsi="Courier New" w:cs="Courier New"/>
        </w:rPr>
        <w:tab/>
      </w:r>
      <w:r w:rsidR="00BA6265" w:rsidRPr="00FB5617">
        <w:rPr>
          <w:rFonts w:ascii="Courier New" w:hAnsi="Courier New" w:cs="Courier New"/>
        </w:rPr>
        <w:t>24 |</w:t>
      </w:r>
      <w:r>
        <w:rPr>
          <w:rFonts w:ascii="Courier New" w:hAnsi="Courier New" w:cs="Courier New"/>
        </w:rPr>
        <w:tab/>
      </w:r>
      <w:r w:rsidR="00BA6265" w:rsidRPr="00FB5617">
        <w:rPr>
          <w:rFonts w:ascii="Courier New" w:hAnsi="Courier New" w:cs="Courier New"/>
        </w:rPr>
        <w:t>0</w:t>
      </w:r>
      <w:r>
        <w:rPr>
          <w:rFonts w:ascii="Courier New" w:hAnsi="Courier New" w:cs="Courier New"/>
        </w:rPr>
        <w:tab/>
      </w:r>
      <w:r w:rsidR="00BA6265" w:rsidRPr="00FB5617">
        <w:rPr>
          <w:rFonts w:ascii="Courier New" w:hAnsi="Courier New" w:cs="Courier New"/>
        </w:rPr>
        <w:t>0</w:t>
      </w:r>
      <w:r>
        <w:rPr>
          <w:rFonts w:ascii="Courier New" w:hAnsi="Courier New" w:cs="Courier New"/>
        </w:rPr>
        <w:tab/>
      </w:r>
      <w:r w:rsidR="00BA6265" w:rsidRPr="00FB5617">
        <w:rPr>
          <w:rFonts w:ascii="Courier New" w:hAnsi="Courier New" w:cs="Courier New"/>
        </w:rPr>
        <w:t>2 |</w:t>
      </w:r>
      <w:r>
        <w:rPr>
          <w:rFonts w:ascii="Courier New" w:hAnsi="Courier New" w:cs="Courier New"/>
        </w:rPr>
        <w:tab/>
      </w:r>
      <w:r w:rsidR="00BA6265" w:rsidRPr="00FB5617">
        <w:rPr>
          <w:rFonts w:ascii="Courier New" w:hAnsi="Courier New" w:cs="Courier New"/>
        </w:rPr>
        <w:t>2</w:t>
      </w:r>
    </w:p>
    <w:p w:rsidR="00536BD5" w:rsidRPr="00FB5617" w:rsidRDefault="00536BD5" w:rsidP="00536BD5">
      <w:pPr>
        <w:tabs>
          <w:tab w:val="left" w:pos="1134"/>
          <w:tab w:val="left" w:pos="2977"/>
          <w:tab w:val="left" w:pos="4536"/>
          <w:tab w:val="left" w:pos="6096"/>
          <w:tab w:val="left" w:pos="7797"/>
        </w:tabs>
        <w:rPr>
          <w:rFonts w:ascii="Courier New" w:hAnsi="Courier New" w:cs="Courier New"/>
        </w:rPr>
      </w:pPr>
      <w:r>
        <w:rPr>
          <w:rFonts w:ascii="Courier New" w:hAnsi="Courier New" w:cs="Courier New"/>
        </w:rPr>
        <w:tab/>
      </w:r>
      <w:r w:rsidR="00BA6265" w:rsidRPr="00FB5617">
        <w:rPr>
          <w:rFonts w:ascii="Courier New" w:hAnsi="Courier New" w:cs="Courier New"/>
        </w:rPr>
        <w:t>25 |</w:t>
      </w:r>
      <w:r w:rsidR="009B6740">
        <w:rPr>
          <w:rFonts w:ascii="Courier New" w:hAnsi="Courier New" w:cs="Courier New"/>
        </w:rPr>
        <w:tab/>
      </w:r>
      <w:r w:rsidR="00BA6265" w:rsidRPr="00FB5617">
        <w:rPr>
          <w:rFonts w:ascii="Courier New" w:hAnsi="Courier New" w:cs="Courier New"/>
        </w:rPr>
        <w:t>0</w:t>
      </w:r>
      <w:r>
        <w:rPr>
          <w:rFonts w:ascii="Courier New" w:hAnsi="Courier New" w:cs="Courier New"/>
        </w:rPr>
        <w:tab/>
      </w:r>
      <w:r w:rsidR="00BA6265" w:rsidRPr="00FB5617">
        <w:rPr>
          <w:rFonts w:ascii="Courier New" w:hAnsi="Courier New" w:cs="Courier New"/>
        </w:rPr>
        <w:t>0</w:t>
      </w:r>
      <w:r w:rsidR="009B6740">
        <w:rPr>
          <w:rFonts w:ascii="Courier New" w:hAnsi="Courier New" w:cs="Courier New"/>
        </w:rPr>
        <w:tab/>
      </w:r>
      <w:r w:rsidR="00BA6265" w:rsidRPr="00FB5617">
        <w:rPr>
          <w:rFonts w:ascii="Courier New" w:hAnsi="Courier New" w:cs="Courier New"/>
        </w:rPr>
        <w:t>20 |</w:t>
      </w:r>
      <w:r w:rsidR="009B6740">
        <w:rPr>
          <w:rFonts w:ascii="Courier New" w:hAnsi="Courier New" w:cs="Courier New"/>
        </w:rPr>
        <w:tab/>
      </w:r>
      <w:r w:rsidR="00BA6265" w:rsidRPr="00FB5617">
        <w:rPr>
          <w:rFonts w:ascii="Courier New" w:hAnsi="Courier New" w:cs="Courier New"/>
        </w:rPr>
        <w:t>20</w:t>
      </w:r>
    </w:p>
    <w:p w:rsidR="00536BD5" w:rsidRPr="00FB5617" w:rsidRDefault="00536BD5" w:rsidP="00536BD5">
      <w:pPr>
        <w:tabs>
          <w:tab w:val="left" w:pos="1134"/>
          <w:tab w:val="left" w:pos="2977"/>
          <w:tab w:val="left" w:pos="4536"/>
          <w:tab w:val="left" w:pos="6237"/>
          <w:tab w:val="left" w:pos="7938"/>
        </w:tabs>
        <w:rPr>
          <w:rFonts w:ascii="Courier New" w:hAnsi="Courier New" w:cs="Courier New"/>
        </w:rPr>
      </w:pPr>
      <w:r>
        <w:rPr>
          <w:rFonts w:ascii="Courier New" w:hAnsi="Courier New" w:cs="Courier New"/>
        </w:rPr>
        <w:tab/>
      </w:r>
      <w:r w:rsidR="00BA6265" w:rsidRPr="00FB5617">
        <w:rPr>
          <w:rFonts w:ascii="Courier New" w:hAnsi="Courier New" w:cs="Courier New"/>
        </w:rPr>
        <w:t>28 |</w:t>
      </w:r>
      <w:r>
        <w:rPr>
          <w:rFonts w:ascii="Courier New" w:hAnsi="Courier New" w:cs="Courier New"/>
        </w:rPr>
        <w:tab/>
      </w:r>
      <w:r w:rsidR="00BA6265" w:rsidRPr="00FB5617">
        <w:rPr>
          <w:rFonts w:ascii="Courier New" w:hAnsi="Courier New" w:cs="Courier New"/>
        </w:rPr>
        <w:t>0</w:t>
      </w:r>
      <w:r>
        <w:rPr>
          <w:rFonts w:ascii="Courier New" w:hAnsi="Courier New" w:cs="Courier New"/>
        </w:rPr>
        <w:tab/>
      </w:r>
      <w:r w:rsidR="00BA6265" w:rsidRPr="00FB5617">
        <w:rPr>
          <w:rFonts w:ascii="Courier New" w:hAnsi="Courier New" w:cs="Courier New"/>
        </w:rPr>
        <w:t>0</w:t>
      </w:r>
      <w:r>
        <w:rPr>
          <w:rFonts w:ascii="Courier New" w:hAnsi="Courier New" w:cs="Courier New"/>
        </w:rPr>
        <w:tab/>
      </w:r>
      <w:r w:rsidR="00BA6265" w:rsidRPr="00FB5617">
        <w:rPr>
          <w:rFonts w:ascii="Courier New" w:hAnsi="Courier New" w:cs="Courier New"/>
        </w:rPr>
        <w:t>5 |</w:t>
      </w:r>
      <w:r>
        <w:rPr>
          <w:rFonts w:ascii="Courier New" w:hAnsi="Courier New" w:cs="Courier New"/>
        </w:rPr>
        <w:tab/>
      </w:r>
      <w:r w:rsidR="00BA6265" w:rsidRPr="00FB5617">
        <w:rPr>
          <w:rFonts w:ascii="Courier New" w:hAnsi="Courier New" w:cs="Courier New"/>
        </w:rPr>
        <w:t>5</w:t>
      </w:r>
    </w:p>
    <w:p w:rsidR="00BA6265" w:rsidRPr="00FB5617" w:rsidRDefault="00536BD5" w:rsidP="00536BD5">
      <w:pPr>
        <w:tabs>
          <w:tab w:val="left" w:pos="1134"/>
          <w:tab w:val="left" w:pos="2977"/>
          <w:tab w:val="left" w:pos="4536"/>
          <w:tab w:val="left" w:pos="6096"/>
          <w:tab w:val="left" w:pos="7797"/>
        </w:tabs>
        <w:rPr>
          <w:rFonts w:ascii="Courier New" w:hAnsi="Courier New" w:cs="Courier New"/>
        </w:rPr>
      </w:pPr>
      <w:r>
        <w:rPr>
          <w:rFonts w:ascii="Courier New" w:hAnsi="Courier New" w:cs="Courier New"/>
        </w:rPr>
        <w:tab/>
      </w:r>
      <w:r w:rsidR="00BA6265" w:rsidRPr="00FB5617">
        <w:rPr>
          <w:rFonts w:ascii="Courier New" w:hAnsi="Courier New" w:cs="Courier New"/>
        </w:rPr>
        <w:t>29 |</w:t>
      </w:r>
      <w:r>
        <w:rPr>
          <w:rFonts w:ascii="Courier New" w:hAnsi="Courier New" w:cs="Courier New"/>
        </w:rPr>
        <w:tab/>
      </w:r>
      <w:r w:rsidR="00BA6265" w:rsidRPr="00FB5617">
        <w:rPr>
          <w:rFonts w:ascii="Courier New" w:hAnsi="Courier New" w:cs="Courier New"/>
        </w:rPr>
        <w:t>0</w:t>
      </w:r>
      <w:r>
        <w:rPr>
          <w:rFonts w:ascii="Courier New" w:hAnsi="Courier New" w:cs="Courier New"/>
        </w:rPr>
        <w:tab/>
      </w:r>
      <w:r w:rsidR="00BA6265" w:rsidRPr="00FB5617">
        <w:rPr>
          <w:rFonts w:ascii="Courier New" w:hAnsi="Courier New" w:cs="Courier New"/>
        </w:rPr>
        <w:t>0</w:t>
      </w:r>
      <w:r>
        <w:rPr>
          <w:rFonts w:ascii="Courier New" w:hAnsi="Courier New" w:cs="Courier New"/>
        </w:rPr>
        <w:tab/>
      </w:r>
      <w:r w:rsidR="00BA6265" w:rsidRPr="00FB5617">
        <w:rPr>
          <w:rFonts w:ascii="Courier New" w:hAnsi="Courier New" w:cs="Courier New"/>
        </w:rPr>
        <w:t>22 |</w:t>
      </w:r>
      <w:r>
        <w:rPr>
          <w:rFonts w:ascii="Courier New" w:hAnsi="Courier New" w:cs="Courier New"/>
        </w:rPr>
        <w:tab/>
      </w:r>
      <w:r w:rsidR="00BA6265" w:rsidRPr="00FB5617">
        <w:rPr>
          <w:rFonts w:ascii="Courier New" w:hAnsi="Courier New" w:cs="Courier New"/>
        </w:rPr>
        <w:t xml:space="preserve">22 </w:t>
      </w:r>
    </w:p>
    <w:p w:rsidR="00536BD5" w:rsidRDefault="00BA6265" w:rsidP="00536BD5">
      <w:pPr>
        <w:rPr>
          <w:rFonts w:ascii="Courier New" w:hAnsi="Courier New" w:cs="Courier New"/>
        </w:rPr>
      </w:pPr>
      <w:r w:rsidRPr="00FB5617">
        <w:rPr>
          <w:rFonts w:ascii="Courier New" w:hAnsi="Courier New" w:cs="Courier New"/>
        </w:rPr>
        <w:t>-----------+---------------------------------+----------</w:t>
      </w:r>
    </w:p>
    <w:p w:rsidR="00BA6265" w:rsidRDefault="00536BD5" w:rsidP="00536BD5">
      <w:pPr>
        <w:tabs>
          <w:tab w:val="left" w:pos="709"/>
          <w:tab w:val="left" w:pos="2835"/>
          <w:tab w:val="left" w:pos="4253"/>
          <w:tab w:val="left" w:pos="5954"/>
          <w:tab w:val="left" w:pos="7655"/>
        </w:tabs>
        <w:spacing w:after="480"/>
        <w:rPr>
          <w:b/>
        </w:rPr>
      </w:pPr>
      <w:r>
        <w:rPr>
          <w:rFonts w:ascii="Courier New" w:hAnsi="Courier New" w:cs="Courier New"/>
        </w:rPr>
        <w:tab/>
      </w:r>
      <w:r w:rsidR="00BA6265" w:rsidRPr="00FB5617">
        <w:rPr>
          <w:rFonts w:ascii="Courier New" w:hAnsi="Courier New" w:cs="Courier New"/>
        </w:rPr>
        <w:t>Total |</w:t>
      </w:r>
      <w:r>
        <w:rPr>
          <w:rFonts w:ascii="Courier New" w:hAnsi="Courier New" w:cs="Courier New"/>
        </w:rPr>
        <w:tab/>
      </w:r>
      <w:r w:rsidR="00BA6265" w:rsidRPr="00FB5617">
        <w:rPr>
          <w:rFonts w:ascii="Courier New" w:hAnsi="Courier New" w:cs="Courier New"/>
        </w:rPr>
        <w:t>67</w:t>
      </w:r>
      <w:r>
        <w:rPr>
          <w:rFonts w:ascii="Courier New" w:hAnsi="Courier New" w:cs="Courier New"/>
        </w:rPr>
        <w:tab/>
      </w:r>
      <w:r w:rsidR="00BA6265" w:rsidRPr="00FB5617">
        <w:rPr>
          <w:rFonts w:ascii="Courier New" w:hAnsi="Courier New" w:cs="Courier New"/>
        </w:rPr>
        <w:t>204</w:t>
      </w:r>
      <w:r>
        <w:rPr>
          <w:rFonts w:ascii="Courier New" w:hAnsi="Courier New" w:cs="Courier New"/>
        </w:rPr>
        <w:tab/>
      </w:r>
      <w:r w:rsidR="00BA6265" w:rsidRPr="00FB5617">
        <w:rPr>
          <w:rFonts w:ascii="Courier New" w:hAnsi="Courier New" w:cs="Courier New"/>
        </w:rPr>
        <w:t>255 |</w:t>
      </w:r>
      <w:r>
        <w:rPr>
          <w:rFonts w:ascii="Courier New" w:hAnsi="Courier New" w:cs="Courier New"/>
        </w:rPr>
        <w:tab/>
      </w:r>
      <w:r w:rsidR="00BA6265" w:rsidRPr="00FB5617">
        <w:rPr>
          <w:rFonts w:ascii="Courier New" w:hAnsi="Courier New" w:cs="Courier New"/>
        </w:rPr>
        <w:t>526</w:t>
      </w:r>
    </w:p>
    <w:p w:rsidR="00BA6265" w:rsidRPr="00011D82" w:rsidRDefault="00BA6265" w:rsidP="00C047A8">
      <w:proofErr w:type="gramStart"/>
      <w:r>
        <w:rPr>
          <w:b/>
        </w:rPr>
        <w:t>Figure 1.</w:t>
      </w:r>
      <w:proofErr w:type="gramEnd"/>
      <w:r>
        <w:rPr>
          <w:b/>
        </w:rPr>
        <w:t xml:space="preserve"> </w:t>
      </w:r>
      <w:r w:rsidRPr="00011D82">
        <w:t xml:space="preserve">Otitis Media in </w:t>
      </w:r>
      <w:r>
        <w:t>353 Aboriginal c</w:t>
      </w:r>
      <w:r w:rsidRPr="00011D82">
        <w:t>hildren 0-</w:t>
      </w:r>
      <w:r>
        <w:t>30 months</w:t>
      </w:r>
      <w:r w:rsidRPr="00011D82">
        <w:t xml:space="preserve"> years</w:t>
      </w:r>
      <w:r>
        <w:t xml:space="preserve"> living in remote communities of the Northern Territory examined 2008-2010</w:t>
      </w:r>
    </w:p>
    <w:p w:rsidR="00BA6265" w:rsidRDefault="00653C68" w:rsidP="00C047A8">
      <w:pPr>
        <w:jc w:val="center"/>
        <w:rPr>
          <w:b/>
        </w:rPr>
      </w:pPr>
      <w:r>
        <w:rPr>
          <w:b/>
          <w:noProof/>
        </w:rPr>
        <w:drawing>
          <wp:inline distT="0" distB="0" distL="0" distR="0">
            <wp:extent cx="5162550" cy="2676525"/>
            <wp:effectExtent l="0" t="0" r="0" b="0"/>
            <wp:docPr id="5" name="Picture 48" descr="Macintosh HD:Users:jacq:Desktop:Final_OM_IYA_2-8-12-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acintosh HD:Users:jacq:Desktop:Final_OM_IYA_2-8-12-4.pdf"/>
                    <pic:cNvPicPr>
                      <a:picLocks noChangeAspect="1" noChangeArrowheads="1"/>
                    </pic:cNvPicPr>
                  </pic:nvPicPr>
                  <pic:blipFill>
                    <a:blip r:embed="rId17"/>
                    <a:srcRect l="13135" t="10995" r="269" b="53589"/>
                    <a:stretch>
                      <a:fillRect/>
                    </a:stretch>
                  </pic:blipFill>
                  <pic:spPr bwMode="auto">
                    <a:xfrm>
                      <a:off x="0" y="0"/>
                      <a:ext cx="5162550" cy="2676525"/>
                    </a:xfrm>
                    <a:prstGeom prst="rect">
                      <a:avLst/>
                    </a:prstGeom>
                    <a:noFill/>
                    <a:ln w="9525">
                      <a:noFill/>
                      <a:miter lim="800000"/>
                      <a:headEnd/>
                      <a:tailEnd/>
                    </a:ln>
                  </pic:spPr>
                </pic:pic>
              </a:graphicData>
            </a:graphic>
          </wp:inline>
        </w:drawing>
      </w:r>
    </w:p>
    <w:p w:rsidR="00BA6265" w:rsidRDefault="00BA6265" w:rsidP="00536BD5">
      <w:pPr>
        <w:spacing w:after="240"/>
        <w:jc w:val="center"/>
        <w:rPr>
          <w:b/>
        </w:rPr>
      </w:pPr>
    </w:p>
    <w:p w:rsidR="00BA6265" w:rsidRDefault="00BA6265" w:rsidP="00C047A8">
      <w:pPr>
        <w:rPr>
          <w:b/>
        </w:rPr>
      </w:pPr>
    </w:p>
    <w:p w:rsidR="00BA6265" w:rsidRPr="003A651B" w:rsidRDefault="00BA6265" w:rsidP="00C047A8">
      <w:pPr>
        <w:rPr>
          <w:b/>
        </w:rPr>
      </w:pPr>
      <w:r w:rsidRPr="005C4A80">
        <w:rPr>
          <w:b/>
        </w:rPr>
        <w:lastRenderedPageBreak/>
        <w:t xml:space="preserve">Table </w:t>
      </w:r>
      <w:r>
        <w:rPr>
          <w:b/>
        </w:rPr>
        <w:t>3.</w:t>
      </w:r>
      <w:r>
        <w:t xml:space="preserve"> </w:t>
      </w:r>
      <w:r w:rsidRPr="00011D82">
        <w:t xml:space="preserve">Otitis Media in </w:t>
      </w:r>
      <w:r>
        <w:t>353 Aboriginal c</w:t>
      </w:r>
      <w:r w:rsidRPr="00011D82">
        <w:t>hildren 0-</w:t>
      </w:r>
      <w:r>
        <w:t>30 months</w:t>
      </w:r>
      <w:r w:rsidRPr="00011D82">
        <w:t xml:space="preserve"> years</w:t>
      </w:r>
      <w:r>
        <w:t xml:space="preserve"> living in remote communities of the Northern Territory examined 2008-2010</w:t>
      </w:r>
    </w:p>
    <w:p w:rsidR="00BA6265" w:rsidRPr="005C4A80" w:rsidRDefault="00BA6265" w:rsidP="00C047A8">
      <w:pPr>
        <w:rPr>
          <w:rFonts w:ascii="Arial" w:hAnsi="Arial" w:cs="Arial"/>
          <w:color w:val="000000"/>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554"/>
        <w:gridCol w:w="2555"/>
      </w:tblGrid>
      <w:tr w:rsidR="00BA6265" w:rsidRPr="005C4A80" w:rsidTr="00356BE1">
        <w:trPr>
          <w:trHeight w:val="93"/>
        </w:trPr>
        <w:tc>
          <w:tcPr>
            <w:tcW w:w="3780" w:type="dxa"/>
          </w:tcPr>
          <w:p w:rsidR="00BA6265" w:rsidRPr="005C4A80" w:rsidRDefault="00BA6265" w:rsidP="00356BE1">
            <w:pPr>
              <w:widowControl w:val="0"/>
              <w:autoSpaceDE w:val="0"/>
              <w:autoSpaceDN w:val="0"/>
              <w:adjustRightInd w:val="0"/>
              <w:jc w:val="center"/>
              <w:rPr>
                <w:color w:val="000000"/>
                <w:sz w:val="20"/>
                <w:szCs w:val="20"/>
                <w:lang w:val="en-US" w:eastAsia="en-US"/>
              </w:rPr>
            </w:pPr>
            <w:r w:rsidRPr="005C4A80">
              <w:rPr>
                <w:b/>
                <w:bCs/>
                <w:color w:val="000000"/>
                <w:sz w:val="20"/>
                <w:szCs w:val="20"/>
                <w:lang w:val="en-US" w:eastAsia="en-US"/>
              </w:rPr>
              <w:t>Diagnosis</w:t>
            </w:r>
          </w:p>
        </w:tc>
        <w:tc>
          <w:tcPr>
            <w:tcW w:w="2554" w:type="dxa"/>
          </w:tcPr>
          <w:p w:rsidR="00BA6265" w:rsidRPr="005C4A80" w:rsidRDefault="00BA6265" w:rsidP="00356BE1">
            <w:pPr>
              <w:widowControl w:val="0"/>
              <w:autoSpaceDE w:val="0"/>
              <w:autoSpaceDN w:val="0"/>
              <w:adjustRightInd w:val="0"/>
              <w:jc w:val="center"/>
              <w:rPr>
                <w:color w:val="000000"/>
                <w:sz w:val="20"/>
                <w:szCs w:val="20"/>
                <w:lang w:val="en-US" w:eastAsia="en-US"/>
              </w:rPr>
            </w:pPr>
            <w:r w:rsidRPr="005C4A80">
              <w:rPr>
                <w:b/>
                <w:bCs/>
                <w:color w:val="000000"/>
                <w:sz w:val="20"/>
                <w:szCs w:val="20"/>
                <w:lang w:val="en-US" w:eastAsia="en-US"/>
              </w:rPr>
              <w:t>Number</w:t>
            </w:r>
          </w:p>
        </w:tc>
        <w:tc>
          <w:tcPr>
            <w:tcW w:w="2555" w:type="dxa"/>
          </w:tcPr>
          <w:p w:rsidR="00BA6265" w:rsidRPr="005C4A80" w:rsidRDefault="00BA6265" w:rsidP="00356BE1">
            <w:pPr>
              <w:widowControl w:val="0"/>
              <w:autoSpaceDE w:val="0"/>
              <w:autoSpaceDN w:val="0"/>
              <w:adjustRightInd w:val="0"/>
              <w:jc w:val="center"/>
              <w:rPr>
                <w:color w:val="000000"/>
                <w:sz w:val="20"/>
                <w:szCs w:val="20"/>
                <w:lang w:val="en-US" w:eastAsia="en-US"/>
              </w:rPr>
            </w:pPr>
            <w:r w:rsidRPr="005C4A80">
              <w:rPr>
                <w:b/>
                <w:bCs/>
                <w:color w:val="000000"/>
                <w:sz w:val="20"/>
                <w:szCs w:val="20"/>
                <w:lang w:val="en-US" w:eastAsia="en-US"/>
              </w:rPr>
              <w:t>Percent (95% CI)</w:t>
            </w:r>
          </w:p>
        </w:tc>
      </w:tr>
      <w:tr w:rsidR="00BA6265" w:rsidRPr="005C4A80" w:rsidTr="00356BE1">
        <w:trPr>
          <w:trHeight w:val="93"/>
        </w:trPr>
        <w:tc>
          <w:tcPr>
            <w:tcW w:w="3780" w:type="dxa"/>
          </w:tcPr>
          <w:p w:rsidR="00BA6265" w:rsidRPr="005C4A80" w:rsidRDefault="00BA6265" w:rsidP="00356BE1">
            <w:pPr>
              <w:widowControl w:val="0"/>
              <w:autoSpaceDE w:val="0"/>
              <w:autoSpaceDN w:val="0"/>
              <w:adjustRightInd w:val="0"/>
              <w:rPr>
                <w:color w:val="000000"/>
                <w:sz w:val="20"/>
                <w:szCs w:val="20"/>
                <w:lang w:val="en-US" w:eastAsia="en-US"/>
              </w:rPr>
            </w:pPr>
            <w:r w:rsidRPr="005C4A80">
              <w:rPr>
                <w:color w:val="000000"/>
                <w:sz w:val="20"/>
                <w:szCs w:val="20"/>
                <w:lang w:val="en-US" w:eastAsia="en-US"/>
              </w:rPr>
              <w:t xml:space="preserve">Normal </w:t>
            </w:r>
          </w:p>
        </w:tc>
        <w:tc>
          <w:tcPr>
            <w:tcW w:w="2554" w:type="dxa"/>
          </w:tcPr>
          <w:p w:rsidR="00BA6265" w:rsidRPr="005C4A80" w:rsidRDefault="00BA6265" w:rsidP="00356BE1">
            <w:pPr>
              <w:widowControl w:val="0"/>
              <w:autoSpaceDE w:val="0"/>
              <w:autoSpaceDN w:val="0"/>
              <w:adjustRightInd w:val="0"/>
              <w:jc w:val="center"/>
              <w:rPr>
                <w:color w:val="000000"/>
                <w:sz w:val="20"/>
                <w:szCs w:val="20"/>
                <w:lang w:val="en-US" w:eastAsia="en-US"/>
              </w:rPr>
            </w:pPr>
            <w:r w:rsidRPr="005C4A80">
              <w:rPr>
                <w:color w:val="000000"/>
                <w:sz w:val="20"/>
                <w:szCs w:val="20"/>
                <w:lang w:val="en-US" w:eastAsia="en-US"/>
              </w:rPr>
              <w:t>33</w:t>
            </w:r>
          </w:p>
        </w:tc>
        <w:tc>
          <w:tcPr>
            <w:tcW w:w="2555" w:type="dxa"/>
          </w:tcPr>
          <w:p w:rsidR="00BA6265" w:rsidRPr="005C4A80" w:rsidRDefault="00BA6265" w:rsidP="00356BE1">
            <w:pPr>
              <w:widowControl w:val="0"/>
              <w:autoSpaceDE w:val="0"/>
              <w:autoSpaceDN w:val="0"/>
              <w:adjustRightInd w:val="0"/>
              <w:jc w:val="center"/>
              <w:rPr>
                <w:color w:val="000000"/>
                <w:sz w:val="20"/>
                <w:szCs w:val="20"/>
                <w:lang w:val="en-US" w:eastAsia="en-US"/>
              </w:rPr>
            </w:pPr>
            <w:r w:rsidRPr="005C4A80">
              <w:rPr>
                <w:color w:val="000000"/>
                <w:sz w:val="20"/>
                <w:szCs w:val="20"/>
                <w:lang w:val="en-US" w:eastAsia="en-US"/>
              </w:rPr>
              <w:t>9 (6-12)</w:t>
            </w:r>
          </w:p>
        </w:tc>
      </w:tr>
      <w:tr w:rsidR="00BA6265" w:rsidRPr="005C4A80" w:rsidTr="00356BE1">
        <w:trPr>
          <w:trHeight w:val="93"/>
        </w:trPr>
        <w:tc>
          <w:tcPr>
            <w:tcW w:w="3780" w:type="dxa"/>
          </w:tcPr>
          <w:p w:rsidR="00BA6265" w:rsidRPr="005C4A80" w:rsidRDefault="00BA6265" w:rsidP="00356BE1">
            <w:pPr>
              <w:widowControl w:val="0"/>
              <w:autoSpaceDE w:val="0"/>
              <w:autoSpaceDN w:val="0"/>
              <w:adjustRightInd w:val="0"/>
              <w:rPr>
                <w:color w:val="000000"/>
                <w:sz w:val="20"/>
                <w:szCs w:val="20"/>
                <w:lang w:val="en-US" w:eastAsia="en-US"/>
              </w:rPr>
            </w:pPr>
            <w:r w:rsidRPr="005C4A80">
              <w:rPr>
                <w:color w:val="000000"/>
                <w:sz w:val="20"/>
                <w:szCs w:val="20"/>
                <w:lang w:val="en-US" w:eastAsia="en-US"/>
              </w:rPr>
              <w:t xml:space="preserve">Otitis media with effusion </w:t>
            </w:r>
          </w:p>
        </w:tc>
        <w:tc>
          <w:tcPr>
            <w:tcW w:w="2554" w:type="dxa"/>
          </w:tcPr>
          <w:p w:rsidR="00BA6265" w:rsidRPr="005C4A80" w:rsidRDefault="00BA6265" w:rsidP="00356BE1">
            <w:pPr>
              <w:widowControl w:val="0"/>
              <w:autoSpaceDE w:val="0"/>
              <w:autoSpaceDN w:val="0"/>
              <w:adjustRightInd w:val="0"/>
              <w:jc w:val="center"/>
              <w:rPr>
                <w:color w:val="000000"/>
                <w:sz w:val="20"/>
                <w:szCs w:val="20"/>
                <w:lang w:val="en-US" w:eastAsia="en-US"/>
              </w:rPr>
            </w:pPr>
            <w:r w:rsidRPr="005C4A80">
              <w:rPr>
                <w:color w:val="000000"/>
                <w:sz w:val="20"/>
                <w:szCs w:val="20"/>
                <w:lang w:val="en-US" w:eastAsia="en-US"/>
              </w:rPr>
              <w:t>116</w:t>
            </w:r>
          </w:p>
        </w:tc>
        <w:tc>
          <w:tcPr>
            <w:tcW w:w="2555" w:type="dxa"/>
          </w:tcPr>
          <w:p w:rsidR="00BA6265" w:rsidRPr="005C4A80" w:rsidRDefault="00BA6265" w:rsidP="00356BE1">
            <w:pPr>
              <w:widowControl w:val="0"/>
              <w:autoSpaceDE w:val="0"/>
              <w:autoSpaceDN w:val="0"/>
              <w:adjustRightInd w:val="0"/>
              <w:jc w:val="center"/>
              <w:rPr>
                <w:color w:val="000000"/>
                <w:sz w:val="20"/>
                <w:szCs w:val="20"/>
                <w:lang w:val="en-US" w:eastAsia="en-US"/>
              </w:rPr>
            </w:pPr>
            <w:r w:rsidRPr="005C4A80">
              <w:rPr>
                <w:color w:val="000000"/>
                <w:sz w:val="20"/>
                <w:szCs w:val="20"/>
                <w:lang w:val="en-US" w:eastAsia="en-US"/>
              </w:rPr>
              <w:t>33 (28-37)</w:t>
            </w:r>
          </w:p>
        </w:tc>
      </w:tr>
      <w:tr w:rsidR="00BA6265" w:rsidRPr="005C4A80" w:rsidTr="00356BE1">
        <w:trPr>
          <w:trHeight w:val="93"/>
        </w:trPr>
        <w:tc>
          <w:tcPr>
            <w:tcW w:w="3780" w:type="dxa"/>
          </w:tcPr>
          <w:p w:rsidR="00BA6265" w:rsidRPr="005C4A80" w:rsidRDefault="00BA6265" w:rsidP="00356BE1">
            <w:pPr>
              <w:widowControl w:val="0"/>
              <w:autoSpaceDE w:val="0"/>
              <w:autoSpaceDN w:val="0"/>
              <w:adjustRightInd w:val="0"/>
              <w:rPr>
                <w:color w:val="000000"/>
                <w:sz w:val="20"/>
                <w:szCs w:val="20"/>
                <w:lang w:val="en-US" w:eastAsia="en-US"/>
              </w:rPr>
            </w:pPr>
            <w:r w:rsidRPr="005C4A80">
              <w:rPr>
                <w:color w:val="000000"/>
                <w:sz w:val="20"/>
                <w:szCs w:val="20"/>
                <w:lang w:val="en-US" w:eastAsia="en-US"/>
              </w:rPr>
              <w:t xml:space="preserve">Acute otitis media without perforation </w:t>
            </w:r>
          </w:p>
        </w:tc>
        <w:tc>
          <w:tcPr>
            <w:tcW w:w="2554" w:type="dxa"/>
          </w:tcPr>
          <w:p w:rsidR="00BA6265" w:rsidRPr="005C4A80" w:rsidRDefault="00BA6265" w:rsidP="00356BE1">
            <w:pPr>
              <w:widowControl w:val="0"/>
              <w:autoSpaceDE w:val="0"/>
              <w:autoSpaceDN w:val="0"/>
              <w:adjustRightInd w:val="0"/>
              <w:jc w:val="center"/>
              <w:rPr>
                <w:color w:val="000000"/>
                <w:sz w:val="20"/>
                <w:szCs w:val="20"/>
                <w:lang w:val="en-US" w:eastAsia="en-US"/>
              </w:rPr>
            </w:pPr>
            <w:r w:rsidRPr="005C4A80">
              <w:rPr>
                <w:color w:val="000000"/>
                <w:sz w:val="20"/>
                <w:szCs w:val="20"/>
                <w:lang w:val="en-US" w:eastAsia="en-US"/>
              </w:rPr>
              <w:t>136</w:t>
            </w:r>
          </w:p>
        </w:tc>
        <w:tc>
          <w:tcPr>
            <w:tcW w:w="2555" w:type="dxa"/>
          </w:tcPr>
          <w:p w:rsidR="00BA6265" w:rsidRPr="005C4A80" w:rsidRDefault="00BA6265" w:rsidP="00356BE1">
            <w:pPr>
              <w:widowControl w:val="0"/>
              <w:autoSpaceDE w:val="0"/>
              <w:autoSpaceDN w:val="0"/>
              <w:adjustRightInd w:val="0"/>
              <w:jc w:val="center"/>
              <w:rPr>
                <w:color w:val="000000"/>
                <w:sz w:val="20"/>
                <w:szCs w:val="20"/>
                <w:lang w:val="en-US" w:eastAsia="en-US"/>
              </w:rPr>
            </w:pPr>
            <w:r w:rsidRPr="005C4A80">
              <w:rPr>
                <w:color w:val="000000"/>
                <w:sz w:val="20"/>
                <w:szCs w:val="20"/>
                <w:lang w:val="en-US" w:eastAsia="en-US"/>
              </w:rPr>
              <w:t>38 (33-43)</w:t>
            </w:r>
          </w:p>
        </w:tc>
      </w:tr>
      <w:tr w:rsidR="00BA6265" w:rsidRPr="005C4A80" w:rsidTr="00356BE1">
        <w:trPr>
          <w:trHeight w:val="93"/>
        </w:trPr>
        <w:tc>
          <w:tcPr>
            <w:tcW w:w="3780" w:type="dxa"/>
          </w:tcPr>
          <w:p w:rsidR="00BA6265" w:rsidRPr="005C4A80" w:rsidRDefault="00BA6265" w:rsidP="00356BE1">
            <w:pPr>
              <w:widowControl w:val="0"/>
              <w:autoSpaceDE w:val="0"/>
              <w:autoSpaceDN w:val="0"/>
              <w:adjustRightInd w:val="0"/>
              <w:rPr>
                <w:color w:val="000000"/>
                <w:sz w:val="20"/>
                <w:szCs w:val="20"/>
                <w:lang w:val="en-US" w:eastAsia="en-US"/>
              </w:rPr>
            </w:pPr>
            <w:r w:rsidRPr="005C4A80">
              <w:rPr>
                <w:color w:val="000000"/>
                <w:sz w:val="20"/>
                <w:szCs w:val="20"/>
                <w:lang w:val="en-US" w:eastAsia="en-US"/>
              </w:rPr>
              <w:t xml:space="preserve">Acute otitis media with perforation </w:t>
            </w:r>
          </w:p>
        </w:tc>
        <w:tc>
          <w:tcPr>
            <w:tcW w:w="2554" w:type="dxa"/>
          </w:tcPr>
          <w:p w:rsidR="00BA6265" w:rsidRPr="005C4A80" w:rsidRDefault="00BA6265" w:rsidP="00356BE1">
            <w:pPr>
              <w:widowControl w:val="0"/>
              <w:autoSpaceDE w:val="0"/>
              <w:autoSpaceDN w:val="0"/>
              <w:adjustRightInd w:val="0"/>
              <w:jc w:val="center"/>
              <w:rPr>
                <w:color w:val="000000"/>
                <w:sz w:val="20"/>
                <w:szCs w:val="20"/>
                <w:lang w:val="en-US" w:eastAsia="en-US"/>
              </w:rPr>
            </w:pPr>
            <w:r w:rsidRPr="005C4A80">
              <w:rPr>
                <w:color w:val="000000"/>
                <w:sz w:val="20"/>
                <w:szCs w:val="20"/>
                <w:lang w:val="en-US" w:eastAsia="en-US"/>
              </w:rPr>
              <w:t>22</w:t>
            </w:r>
          </w:p>
        </w:tc>
        <w:tc>
          <w:tcPr>
            <w:tcW w:w="2555" w:type="dxa"/>
          </w:tcPr>
          <w:p w:rsidR="00BA6265" w:rsidRPr="005C4A80" w:rsidRDefault="00BA6265" w:rsidP="00356BE1">
            <w:pPr>
              <w:widowControl w:val="0"/>
              <w:autoSpaceDE w:val="0"/>
              <w:autoSpaceDN w:val="0"/>
              <w:adjustRightInd w:val="0"/>
              <w:jc w:val="center"/>
              <w:rPr>
                <w:color w:val="000000"/>
                <w:sz w:val="20"/>
                <w:szCs w:val="20"/>
                <w:lang w:val="en-US" w:eastAsia="en-US"/>
              </w:rPr>
            </w:pPr>
            <w:r w:rsidRPr="005C4A80">
              <w:rPr>
                <w:color w:val="000000"/>
                <w:sz w:val="20"/>
                <w:szCs w:val="20"/>
                <w:lang w:val="en-US" w:eastAsia="en-US"/>
              </w:rPr>
              <w:t>6 (4-9)</w:t>
            </w:r>
          </w:p>
        </w:tc>
      </w:tr>
      <w:tr w:rsidR="00BA6265" w:rsidRPr="005C4A80" w:rsidTr="00356BE1">
        <w:trPr>
          <w:trHeight w:val="93"/>
        </w:trPr>
        <w:tc>
          <w:tcPr>
            <w:tcW w:w="3780" w:type="dxa"/>
          </w:tcPr>
          <w:p w:rsidR="00BA6265" w:rsidRPr="005C4A80" w:rsidRDefault="00BA6265" w:rsidP="00356BE1">
            <w:pPr>
              <w:widowControl w:val="0"/>
              <w:autoSpaceDE w:val="0"/>
              <w:autoSpaceDN w:val="0"/>
              <w:adjustRightInd w:val="0"/>
              <w:rPr>
                <w:color w:val="000000"/>
                <w:sz w:val="20"/>
                <w:szCs w:val="20"/>
                <w:lang w:val="en-US" w:eastAsia="en-US"/>
              </w:rPr>
            </w:pPr>
            <w:r w:rsidRPr="005C4A80">
              <w:rPr>
                <w:color w:val="000000"/>
                <w:sz w:val="20"/>
                <w:szCs w:val="20"/>
                <w:lang w:val="en-US" w:eastAsia="en-US"/>
              </w:rPr>
              <w:t xml:space="preserve">Dry perforation </w:t>
            </w:r>
          </w:p>
        </w:tc>
        <w:tc>
          <w:tcPr>
            <w:tcW w:w="2554" w:type="dxa"/>
          </w:tcPr>
          <w:p w:rsidR="00BA6265" w:rsidRPr="005C4A80" w:rsidRDefault="00BA6265" w:rsidP="00356BE1">
            <w:pPr>
              <w:widowControl w:val="0"/>
              <w:autoSpaceDE w:val="0"/>
              <w:autoSpaceDN w:val="0"/>
              <w:adjustRightInd w:val="0"/>
              <w:jc w:val="center"/>
              <w:rPr>
                <w:color w:val="000000"/>
                <w:sz w:val="20"/>
                <w:szCs w:val="20"/>
                <w:lang w:val="en-US" w:eastAsia="en-US"/>
              </w:rPr>
            </w:pPr>
            <w:r w:rsidRPr="005C4A80">
              <w:rPr>
                <w:color w:val="000000"/>
                <w:sz w:val="20"/>
                <w:szCs w:val="20"/>
                <w:lang w:val="en-US" w:eastAsia="en-US"/>
              </w:rPr>
              <w:t>4</w:t>
            </w:r>
          </w:p>
        </w:tc>
        <w:tc>
          <w:tcPr>
            <w:tcW w:w="2555" w:type="dxa"/>
          </w:tcPr>
          <w:p w:rsidR="00BA6265" w:rsidRPr="005C4A80" w:rsidRDefault="00BA6265" w:rsidP="00356BE1">
            <w:pPr>
              <w:widowControl w:val="0"/>
              <w:autoSpaceDE w:val="0"/>
              <w:autoSpaceDN w:val="0"/>
              <w:adjustRightInd w:val="0"/>
              <w:jc w:val="center"/>
              <w:rPr>
                <w:color w:val="000000"/>
                <w:sz w:val="20"/>
                <w:szCs w:val="20"/>
                <w:lang w:val="en-US" w:eastAsia="en-US"/>
              </w:rPr>
            </w:pPr>
            <w:r w:rsidRPr="005C4A80">
              <w:rPr>
                <w:color w:val="000000"/>
                <w:sz w:val="20"/>
                <w:szCs w:val="20"/>
                <w:lang w:val="en-US" w:eastAsia="en-US"/>
              </w:rPr>
              <w:t>1 (1-2)</w:t>
            </w:r>
          </w:p>
        </w:tc>
      </w:tr>
      <w:tr w:rsidR="00BA6265" w:rsidRPr="005C4A80" w:rsidTr="00356BE1">
        <w:trPr>
          <w:trHeight w:val="93"/>
        </w:trPr>
        <w:tc>
          <w:tcPr>
            <w:tcW w:w="3780" w:type="dxa"/>
          </w:tcPr>
          <w:p w:rsidR="00BA6265" w:rsidRPr="005C4A80" w:rsidRDefault="00BA6265" w:rsidP="00356BE1">
            <w:pPr>
              <w:widowControl w:val="0"/>
              <w:autoSpaceDE w:val="0"/>
              <w:autoSpaceDN w:val="0"/>
              <w:adjustRightInd w:val="0"/>
              <w:rPr>
                <w:color w:val="000000"/>
                <w:sz w:val="20"/>
                <w:szCs w:val="20"/>
                <w:lang w:val="en-US" w:eastAsia="en-US"/>
              </w:rPr>
            </w:pPr>
            <w:r w:rsidRPr="005C4A80">
              <w:rPr>
                <w:color w:val="000000"/>
                <w:sz w:val="20"/>
                <w:szCs w:val="20"/>
                <w:lang w:val="en-US" w:eastAsia="en-US"/>
              </w:rPr>
              <w:t xml:space="preserve">Chronic </w:t>
            </w:r>
            <w:proofErr w:type="spellStart"/>
            <w:r w:rsidRPr="005C4A80">
              <w:rPr>
                <w:color w:val="000000"/>
                <w:sz w:val="20"/>
                <w:szCs w:val="20"/>
                <w:lang w:val="en-US" w:eastAsia="en-US"/>
              </w:rPr>
              <w:t>suppurative</w:t>
            </w:r>
            <w:proofErr w:type="spellEnd"/>
            <w:r w:rsidRPr="005C4A80">
              <w:rPr>
                <w:color w:val="000000"/>
                <w:sz w:val="20"/>
                <w:szCs w:val="20"/>
                <w:lang w:val="en-US" w:eastAsia="en-US"/>
              </w:rPr>
              <w:t xml:space="preserve"> otitis media </w:t>
            </w:r>
          </w:p>
        </w:tc>
        <w:tc>
          <w:tcPr>
            <w:tcW w:w="2554" w:type="dxa"/>
          </w:tcPr>
          <w:p w:rsidR="00BA6265" w:rsidRPr="005C4A80" w:rsidRDefault="00BA6265" w:rsidP="00356BE1">
            <w:pPr>
              <w:widowControl w:val="0"/>
              <w:autoSpaceDE w:val="0"/>
              <w:autoSpaceDN w:val="0"/>
              <w:adjustRightInd w:val="0"/>
              <w:jc w:val="center"/>
              <w:rPr>
                <w:color w:val="000000"/>
                <w:sz w:val="20"/>
                <w:szCs w:val="20"/>
                <w:lang w:val="en-US" w:eastAsia="en-US"/>
              </w:rPr>
            </w:pPr>
            <w:r w:rsidRPr="005C4A80">
              <w:rPr>
                <w:color w:val="000000"/>
                <w:sz w:val="20"/>
                <w:szCs w:val="20"/>
                <w:lang w:val="en-US" w:eastAsia="en-US"/>
              </w:rPr>
              <w:t>42</w:t>
            </w:r>
          </w:p>
        </w:tc>
        <w:tc>
          <w:tcPr>
            <w:tcW w:w="2555" w:type="dxa"/>
          </w:tcPr>
          <w:p w:rsidR="00BA6265" w:rsidRPr="005C4A80" w:rsidRDefault="00BA6265" w:rsidP="00356BE1">
            <w:pPr>
              <w:widowControl w:val="0"/>
              <w:autoSpaceDE w:val="0"/>
              <w:autoSpaceDN w:val="0"/>
              <w:adjustRightInd w:val="0"/>
              <w:jc w:val="center"/>
              <w:rPr>
                <w:color w:val="000000"/>
                <w:sz w:val="20"/>
                <w:szCs w:val="20"/>
                <w:lang w:val="en-US" w:eastAsia="en-US"/>
              </w:rPr>
            </w:pPr>
            <w:r w:rsidRPr="005C4A80">
              <w:rPr>
                <w:color w:val="000000"/>
                <w:sz w:val="20"/>
                <w:szCs w:val="20"/>
                <w:lang w:val="en-US" w:eastAsia="en-US"/>
              </w:rPr>
              <w:t>13 (9-16)</w:t>
            </w:r>
          </w:p>
        </w:tc>
      </w:tr>
      <w:tr w:rsidR="00BA6265" w:rsidRPr="005C4A80" w:rsidTr="00356BE1">
        <w:trPr>
          <w:trHeight w:val="93"/>
        </w:trPr>
        <w:tc>
          <w:tcPr>
            <w:tcW w:w="3780" w:type="dxa"/>
          </w:tcPr>
          <w:p w:rsidR="00BA6265" w:rsidRPr="005C4A80" w:rsidRDefault="00BA6265" w:rsidP="00356BE1">
            <w:pPr>
              <w:widowControl w:val="0"/>
              <w:autoSpaceDE w:val="0"/>
              <w:autoSpaceDN w:val="0"/>
              <w:adjustRightInd w:val="0"/>
              <w:rPr>
                <w:color w:val="000000"/>
                <w:sz w:val="20"/>
                <w:szCs w:val="20"/>
                <w:lang w:val="en-US" w:eastAsia="en-US"/>
              </w:rPr>
            </w:pPr>
            <w:r w:rsidRPr="005C4A80">
              <w:rPr>
                <w:b/>
                <w:bCs/>
                <w:color w:val="000000"/>
                <w:sz w:val="20"/>
                <w:szCs w:val="20"/>
                <w:lang w:val="en-US" w:eastAsia="en-US"/>
              </w:rPr>
              <w:t xml:space="preserve">Any otitis media </w:t>
            </w:r>
          </w:p>
        </w:tc>
        <w:tc>
          <w:tcPr>
            <w:tcW w:w="2554" w:type="dxa"/>
          </w:tcPr>
          <w:p w:rsidR="00BA6265" w:rsidRPr="005C4A80" w:rsidRDefault="00BA6265" w:rsidP="00356BE1">
            <w:pPr>
              <w:widowControl w:val="0"/>
              <w:autoSpaceDE w:val="0"/>
              <w:autoSpaceDN w:val="0"/>
              <w:adjustRightInd w:val="0"/>
              <w:jc w:val="center"/>
              <w:rPr>
                <w:color w:val="000000"/>
                <w:sz w:val="20"/>
                <w:szCs w:val="20"/>
                <w:lang w:val="en-US" w:eastAsia="en-US"/>
              </w:rPr>
            </w:pPr>
            <w:r w:rsidRPr="005C4A80">
              <w:rPr>
                <w:b/>
                <w:bCs/>
                <w:color w:val="000000"/>
                <w:sz w:val="20"/>
                <w:szCs w:val="20"/>
                <w:lang w:val="en-US" w:eastAsia="en-US"/>
              </w:rPr>
              <w:t>323</w:t>
            </w:r>
          </w:p>
        </w:tc>
        <w:tc>
          <w:tcPr>
            <w:tcW w:w="2555" w:type="dxa"/>
          </w:tcPr>
          <w:p w:rsidR="00BA6265" w:rsidRPr="005C4A80" w:rsidRDefault="00BA6265" w:rsidP="00356BE1">
            <w:pPr>
              <w:widowControl w:val="0"/>
              <w:autoSpaceDE w:val="0"/>
              <w:autoSpaceDN w:val="0"/>
              <w:adjustRightInd w:val="0"/>
              <w:jc w:val="center"/>
              <w:rPr>
                <w:color w:val="000000"/>
                <w:sz w:val="20"/>
                <w:szCs w:val="20"/>
                <w:lang w:val="en-US" w:eastAsia="en-US"/>
              </w:rPr>
            </w:pPr>
            <w:r w:rsidRPr="005C4A80">
              <w:rPr>
                <w:b/>
                <w:bCs/>
                <w:color w:val="000000"/>
                <w:sz w:val="20"/>
                <w:szCs w:val="20"/>
                <w:lang w:val="en-US" w:eastAsia="en-US"/>
              </w:rPr>
              <w:t>91 (88-94)</w:t>
            </w:r>
          </w:p>
        </w:tc>
      </w:tr>
    </w:tbl>
    <w:p w:rsidR="00BA6265" w:rsidRDefault="00BA6265"/>
    <w:p w:rsidR="00536BD5" w:rsidRDefault="00BA6265" w:rsidP="00536BD5">
      <w:r>
        <w:t xml:space="preserve">There were 526 children aged 0-5 years seen and their results could be compared with the previous Child Health Check Initiative data from 2008 (see Table 4). The rates of all otitis media and the rates of each of otitis media were very similar for both the 0-30 month and the 0-5 </w:t>
      </w:r>
      <w:proofErr w:type="gramStart"/>
      <w:r>
        <w:t>years</w:t>
      </w:r>
      <w:proofErr w:type="gramEnd"/>
      <w:r>
        <w:t xml:space="preserve"> age categories.</w:t>
      </w:r>
    </w:p>
    <w:p w:rsidR="00BA6265" w:rsidRDefault="00536BD5" w:rsidP="00536BD5">
      <w:r>
        <w:t xml:space="preserve"> </w:t>
      </w:r>
    </w:p>
    <w:p w:rsidR="00BA6265" w:rsidRDefault="00BA6265" w:rsidP="00F4492E">
      <w:r>
        <w:t xml:space="preserve">Eleven of the 29 communities (38%) had children suffering from tympanic membrane perforation, with rates reaching as high as 30% in 2 communities (see Figure 2).  All the communities where at least 15 children were examined had at least 1 child with a perforated tympanic membrane.  All of these 10 communities met the World Health Organization criteria for middle ear disease being a massive public health problem requiring urgent attention. </w:t>
      </w:r>
    </w:p>
    <w:p w:rsidR="00BA6265" w:rsidRDefault="00BA6265" w:rsidP="00335126"/>
    <w:p w:rsidR="00BA6265" w:rsidRDefault="00BA6265" w:rsidP="00335126">
      <w:pPr>
        <w:ind w:right="1395"/>
      </w:pPr>
      <w:r w:rsidRPr="00651D14">
        <w:rPr>
          <w:b/>
        </w:rPr>
        <w:t>Fig</w:t>
      </w:r>
      <w:r>
        <w:rPr>
          <w:b/>
        </w:rPr>
        <w:t>ure</w:t>
      </w:r>
      <w:r w:rsidRPr="00651D14">
        <w:rPr>
          <w:b/>
        </w:rPr>
        <w:t xml:space="preserve"> 2</w:t>
      </w:r>
      <w:r>
        <w:rPr>
          <w:b/>
        </w:rPr>
        <w:t>.</w:t>
      </w:r>
      <w:r>
        <w:t xml:space="preserve"> Proportion of children seen with diagnosis of tympanic membrane perforation (TMP) by community.</w:t>
      </w:r>
    </w:p>
    <w:p w:rsidR="00BA6265" w:rsidRDefault="00BA6265" w:rsidP="00335126">
      <w:pPr>
        <w:ind w:left="1134" w:right="1395"/>
      </w:pPr>
    </w:p>
    <w:p w:rsidR="00BA6265" w:rsidRDefault="00653C68" w:rsidP="0025502C">
      <w:pPr>
        <w:jc w:val="center"/>
      </w:pPr>
      <w:r>
        <w:rPr>
          <w:noProof/>
        </w:rPr>
        <w:drawing>
          <wp:inline distT="0" distB="0" distL="0" distR="0">
            <wp:extent cx="5114925" cy="4086225"/>
            <wp:effectExtent l="0" t="0" r="9525" b="0"/>
            <wp:docPr id="6" name="Picture 2" descr="Bar graph " title="Figure 2. Proportion of children seen with the diagnosis of tympanic membrane perforation by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5114925" cy="4086225"/>
                    </a:xfrm>
                    <a:prstGeom prst="rect">
                      <a:avLst/>
                    </a:prstGeom>
                    <a:noFill/>
                    <a:ln w="9525">
                      <a:noFill/>
                      <a:miter lim="800000"/>
                      <a:headEnd/>
                      <a:tailEnd/>
                    </a:ln>
                  </pic:spPr>
                </pic:pic>
              </a:graphicData>
            </a:graphic>
          </wp:inline>
        </w:drawing>
      </w:r>
    </w:p>
    <w:p w:rsidR="00BA6265" w:rsidRDefault="00BA6265" w:rsidP="00335126"/>
    <w:p w:rsidR="00BA6265" w:rsidRDefault="00BA6265" w:rsidP="00335126"/>
    <w:p w:rsidR="00BA6265" w:rsidRPr="00A96A1F" w:rsidRDefault="00BA6265" w:rsidP="00335126">
      <w:r>
        <w:t xml:space="preserve">Unfortunately tympanic membrane perforation was detected in all age groups except babies less than 3 months of age.  Rates of tympanic membrane perforation varied from 15-25% with no clear evidence of either an increase or decrease with age after 3 months (see Figure 3).  Unfortunately, </w:t>
      </w:r>
      <w:r>
        <w:lastRenderedPageBreak/>
        <w:t>nearly all of the tympanic membrane perforation were associated with ear discharge.  Since the majority of children were aged between 6-30 months, estimates for these age groups will be most precise. Further analysis of these data will determine whether there has been progression or improvement with age for number of ears affected (unilateral or bilateral perforation) and size of the tympanic membrane.</w:t>
      </w:r>
    </w:p>
    <w:p w:rsidR="00BA6265" w:rsidRDefault="00BA6265" w:rsidP="00335126"/>
    <w:p w:rsidR="00BA6265" w:rsidRDefault="00BA6265" w:rsidP="00335126">
      <w:pPr>
        <w:ind w:right="403"/>
      </w:pPr>
      <w:r w:rsidRPr="00651D14">
        <w:rPr>
          <w:b/>
        </w:rPr>
        <w:t>Fig</w:t>
      </w:r>
      <w:r>
        <w:rPr>
          <w:b/>
        </w:rPr>
        <w:t>ure</w:t>
      </w:r>
      <w:r w:rsidRPr="00651D14">
        <w:rPr>
          <w:b/>
        </w:rPr>
        <w:t>. 3</w:t>
      </w:r>
      <w:r>
        <w:t xml:space="preserve">  Proportion of children seen with diagnosis of tympanic membrane perforation (TMP), by age group.</w:t>
      </w:r>
    </w:p>
    <w:p w:rsidR="00BA6265" w:rsidRDefault="00BA6265" w:rsidP="00335126"/>
    <w:p w:rsidR="00BA6265" w:rsidRDefault="00653C68" w:rsidP="0025502C">
      <w:pPr>
        <w:jc w:val="center"/>
      </w:pPr>
      <w:r>
        <w:rPr>
          <w:noProof/>
        </w:rPr>
        <w:drawing>
          <wp:inline distT="0" distB="0" distL="0" distR="0">
            <wp:extent cx="5572125" cy="4057650"/>
            <wp:effectExtent l="0" t="0" r="9525" b="0"/>
            <wp:docPr id="7" name="Picture 0" descr="Bar chart" title="Figure 3. Proportion of children seen with diagnosis of tympanic membrane perforation by ag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stear567agegrp30mo.wmf"/>
                    <pic:cNvPicPr>
                      <a:picLocks noChangeAspect="1" noChangeArrowheads="1"/>
                    </pic:cNvPicPr>
                  </pic:nvPicPr>
                  <pic:blipFill>
                    <a:blip r:embed="rId19"/>
                    <a:srcRect/>
                    <a:stretch>
                      <a:fillRect/>
                    </a:stretch>
                  </pic:blipFill>
                  <pic:spPr bwMode="auto">
                    <a:xfrm>
                      <a:off x="0" y="0"/>
                      <a:ext cx="5572125" cy="4057650"/>
                    </a:xfrm>
                    <a:prstGeom prst="rect">
                      <a:avLst/>
                    </a:prstGeom>
                    <a:noFill/>
                    <a:ln w="9525">
                      <a:noFill/>
                      <a:miter lim="800000"/>
                      <a:headEnd/>
                      <a:tailEnd/>
                    </a:ln>
                  </pic:spPr>
                </pic:pic>
              </a:graphicData>
            </a:graphic>
          </wp:inline>
        </w:drawing>
      </w:r>
    </w:p>
    <w:p w:rsidR="00BA6265" w:rsidRDefault="00BA6265" w:rsidP="00660039"/>
    <w:p w:rsidR="00BA6265" w:rsidRPr="0037252B" w:rsidRDefault="00BA6265" w:rsidP="00660039">
      <w:pPr>
        <w:rPr>
          <w:rFonts w:ascii="Arial Narrow" w:hAnsi="Arial Narrow"/>
        </w:rPr>
      </w:pPr>
    </w:p>
    <w:p w:rsidR="00536BD5" w:rsidRDefault="00BA6265" w:rsidP="00CC1DC0">
      <w:r>
        <w:t xml:space="preserve">The average of children seen was 18-24 months.  The average </w:t>
      </w:r>
      <w:proofErr w:type="spellStart"/>
      <w:r>
        <w:t>birthweight</w:t>
      </w:r>
      <w:proofErr w:type="spellEnd"/>
      <w:r>
        <w:t xml:space="preserve"> was 3.0 kg (less than the Australian average and non-Aboriginal NT average).  The varying clinical presentations of otitis media included otitis media with effusion (~33%), acute otitis media without perforation of the eardrum (~38%), acute otitis media with perforation (~6%), otitis media with dry perforation (~1%) and chronic </w:t>
      </w:r>
      <w:proofErr w:type="spellStart"/>
      <w:r>
        <w:t>suppurative</w:t>
      </w:r>
      <w:proofErr w:type="spellEnd"/>
      <w:r>
        <w:t xml:space="preserve"> otitis media (~13%) (see Figure 1, Table 3 and 4).  The presence of cough (~20%), runny nose (~30-40%) and skin infection (~20%) were also common.</w:t>
      </w:r>
    </w:p>
    <w:p w:rsidR="00BA6265" w:rsidRDefault="00536BD5" w:rsidP="00CC1DC0">
      <w:r>
        <w:t xml:space="preserve"> </w:t>
      </w:r>
    </w:p>
    <w:p w:rsidR="00BA6265" w:rsidRDefault="00BA6265" w:rsidP="00660039">
      <w:r>
        <w:t xml:space="preserve">Data comparisons were made over the three year period (2008-10) for all children.  As the amount of information for each child was not always complete, the denominators for each of the comparisons varied as shown (see Table 4).  Otitis media risk factors that were assessed included crowding, child care, cigarette smoke exposure, campfire smoke exposure, breastfeeding, maternal education, and use of a pacifier.  Most of the children seen in the study had been breast fed and had not used a pacifier.  Mothers reported relatively low levels of education but the number engaging in further training or study after school appeared to increase over time (18 </w:t>
      </w:r>
      <w:proofErr w:type="spellStart"/>
      <w:r>
        <w:t>vs</w:t>
      </w:r>
      <w:proofErr w:type="spellEnd"/>
      <w:r>
        <w:t xml:space="preserve"> 33%).  Child care attendance was uncommon but increasing (3% </w:t>
      </w:r>
      <w:proofErr w:type="spellStart"/>
      <w:r>
        <w:t>vs</w:t>
      </w:r>
      <w:proofErr w:type="spellEnd"/>
      <w:r>
        <w:t xml:space="preserve"> 20%).  Exposure to cigarette and campfire smoke was common although it did vary significantly over time.  Most children lived in crowded household with 8-9 occupants and 2-3 other young children.  Over time there was a significant decrease in the taking of macrolide </w:t>
      </w:r>
      <w:r>
        <w:lastRenderedPageBreak/>
        <w:t xml:space="preserve">antibiotics (36% </w:t>
      </w:r>
      <w:proofErr w:type="spellStart"/>
      <w:r>
        <w:t>vs</w:t>
      </w:r>
      <w:proofErr w:type="spellEnd"/>
      <w:r>
        <w:t xml:space="preserve"> 5%), but there was an overall increase in the prescribing of antibiotics in general (25% </w:t>
      </w:r>
      <w:proofErr w:type="spellStart"/>
      <w:r>
        <w:t>vs</w:t>
      </w:r>
      <w:proofErr w:type="spellEnd"/>
      <w:r>
        <w:t xml:space="preserve"> 36%). </w:t>
      </w:r>
    </w:p>
    <w:p w:rsidR="00BA6265" w:rsidRDefault="00BA6265" w:rsidP="003F4D0A">
      <w:pPr>
        <w:rPr>
          <w:b/>
        </w:rPr>
      </w:pPr>
    </w:p>
    <w:p w:rsidR="00BA6265" w:rsidRPr="005026F4" w:rsidRDefault="00BA6265" w:rsidP="003F4D0A">
      <w:r w:rsidRPr="005026F4">
        <w:rPr>
          <w:b/>
        </w:rPr>
        <w:t>Table 4</w:t>
      </w:r>
      <w:r>
        <w:rPr>
          <w:b/>
        </w:rPr>
        <w:t>.</w:t>
      </w:r>
      <w:r w:rsidRPr="005026F4">
        <w:rPr>
          <w:b/>
        </w:rPr>
        <w:t xml:space="preserve"> </w:t>
      </w:r>
      <w:r w:rsidRPr="005026F4">
        <w:t>Characteristics by study year.</w:t>
      </w:r>
    </w:p>
    <w:p w:rsidR="00BA6265" w:rsidRDefault="00BA6265" w:rsidP="00660039">
      <w:pPr>
        <w:rPr>
          <w:rFonts w:ascii="Courier New" w:hAnsi="Courier New" w:cs="Courier New"/>
        </w:rPr>
      </w:pPr>
    </w:p>
    <w:tbl>
      <w:tblPr>
        <w:tblW w:w="9186" w:type="dxa"/>
        <w:jc w:val="center"/>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2"/>
        <w:gridCol w:w="1848"/>
        <w:gridCol w:w="1848"/>
        <w:gridCol w:w="1849"/>
        <w:gridCol w:w="1259"/>
      </w:tblGrid>
      <w:tr w:rsidR="00BA6265" w:rsidRPr="000678F2" w:rsidTr="005A4259">
        <w:trPr>
          <w:jc w:val="center"/>
        </w:trPr>
        <w:tc>
          <w:tcPr>
            <w:tcW w:w="2382" w:type="dxa"/>
            <w:tcBorders>
              <w:bottom w:val="single" w:sz="12" w:space="0" w:color="auto"/>
            </w:tcBorders>
          </w:tcPr>
          <w:p w:rsidR="00BA6265" w:rsidRPr="005A4259" w:rsidRDefault="00BA6265" w:rsidP="005A4259">
            <w:pPr>
              <w:rPr>
                <w:b/>
                <w:sz w:val="20"/>
                <w:szCs w:val="20"/>
              </w:rPr>
            </w:pPr>
          </w:p>
        </w:tc>
        <w:tc>
          <w:tcPr>
            <w:tcW w:w="1848" w:type="dxa"/>
            <w:tcBorders>
              <w:bottom w:val="single" w:sz="12" w:space="0" w:color="auto"/>
            </w:tcBorders>
            <w:vAlign w:val="center"/>
          </w:tcPr>
          <w:p w:rsidR="00BA6265" w:rsidRPr="005A4259" w:rsidRDefault="00BA6265" w:rsidP="00AF1DEC">
            <w:pPr>
              <w:jc w:val="center"/>
              <w:rPr>
                <w:b/>
                <w:sz w:val="20"/>
                <w:szCs w:val="20"/>
              </w:rPr>
            </w:pPr>
            <w:r w:rsidRPr="005A4259">
              <w:rPr>
                <w:b/>
                <w:sz w:val="20"/>
                <w:szCs w:val="20"/>
              </w:rPr>
              <w:t>2008</w:t>
            </w:r>
          </w:p>
        </w:tc>
        <w:tc>
          <w:tcPr>
            <w:tcW w:w="1848" w:type="dxa"/>
            <w:tcBorders>
              <w:bottom w:val="single" w:sz="12" w:space="0" w:color="auto"/>
            </w:tcBorders>
            <w:vAlign w:val="center"/>
          </w:tcPr>
          <w:p w:rsidR="00BA6265" w:rsidRPr="005A4259" w:rsidRDefault="00BA6265" w:rsidP="00AF1DEC">
            <w:pPr>
              <w:jc w:val="center"/>
              <w:rPr>
                <w:b/>
                <w:sz w:val="20"/>
                <w:szCs w:val="20"/>
              </w:rPr>
            </w:pPr>
            <w:r w:rsidRPr="005A4259">
              <w:rPr>
                <w:b/>
                <w:sz w:val="20"/>
                <w:szCs w:val="20"/>
              </w:rPr>
              <w:t>2009</w:t>
            </w:r>
          </w:p>
        </w:tc>
        <w:tc>
          <w:tcPr>
            <w:tcW w:w="1849" w:type="dxa"/>
            <w:tcBorders>
              <w:bottom w:val="single" w:sz="12" w:space="0" w:color="auto"/>
            </w:tcBorders>
            <w:vAlign w:val="center"/>
          </w:tcPr>
          <w:p w:rsidR="00BA6265" w:rsidRPr="005A4259" w:rsidRDefault="00BA6265" w:rsidP="00AF1DEC">
            <w:pPr>
              <w:jc w:val="center"/>
              <w:rPr>
                <w:b/>
                <w:sz w:val="20"/>
                <w:szCs w:val="20"/>
              </w:rPr>
            </w:pPr>
            <w:r w:rsidRPr="005A4259">
              <w:rPr>
                <w:b/>
                <w:sz w:val="20"/>
                <w:szCs w:val="20"/>
              </w:rPr>
              <w:t>2010</w:t>
            </w:r>
          </w:p>
        </w:tc>
        <w:tc>
          <w:tcPr>
            <w:tcW w:w="1259" w:type="dxa"/>
            <w:tcBorders>
              <w:bottom w:val="single" w:sz="12" w:space="0" w:color="auto"/>
            </w:tcBorders>
          </w:tcPr>
          <w:p w:rsidR="00BA6265" w:rsidRPr="005A4259" w:rsidRDefault="00BA6265" w:rsidP="00AF1DEC">
            <w:pPr>
              <w:jc w:val="center"/>
              <w:rPr>
                <w:b/>
                <w:sz w:val="20"/>
                <w:szCs w:val="20"/>
              </w:rPr>
            </w:pPr>
          </w:p>
        </w:tc>
      </w:tr>
      <w:tr w:rsidR="00BA6265" w:rsidTr="005A4259">
        <w:trPr>
          <w:jc w:val="center"/>
        </w:trPr>
        <w:tc>
          <w:tcPr>
            <w:tcW w:w="2382" w:type="dxa"/>
            <w:tcBorders>
              <w:top w:val="single" w:sz="12" w:space="0" w:color="auto"/>
            </w:tcBorders>
            <w:vAlign w:val="center"/>
          </w:tcPr>
          <w:p w:rsidR="00BA6265" w:rsidRPr="005A4259" w:rsidRDefault="00BA6265" w:rsidP="005A4259">
            <w:pPr>
              <w:rPr>
                <w:sz w:val="20"/>
                <w:szCs w:val="20"/>
              </w:rPr>
            </w:pPr>
            <w:r w:rsidRPr="005A4259">
              <w:rPr>
                <w:sz w:val="20"/>
                <w:szCs w:val="20"/>
              </w:rPr>
              <w:t>n</w:t>
            </w:r>
          </w:p>
        </w:tc>
        <w:tc>
          <w:tcPr>
            <w:tcW w:w="1848" w:type="dxa"/>
            <w:tcBorders>
              <w:top w:val="single" w:sz="12" w:space="0" w:color="auto"/>
            </w:tcBorders>
            <w:vAlign w:val="center"/>
          </w:tcPr>
          <w:p w:rsidR="00BA6265" w:rsidRPr="005A4259" w:rsidRDefault="00BA6265" w:rsidP="00AF1DEC">
            <w:pPr>
              <w:jc w:val="center"/>
              <w:rPr>
                <w:sz w:val="20"/>
                <w:szCs w:val="20"/>
              </w:rPr>
            </w:pPr>
            <w:r w:rsidRPr="005A4259">
              <w:rPr>
                <w:sz w:val="20"/>
                <w:szCs w:val="20"/>
              </w:rPr>
              <w:t>63</w:t>
            </w:r>
          </w:p>
        </w:tc>
        <w:tc>
          <w:tcPr>
            <w:tcW w:w="1848" w:type="dxa"/>
            <w:tcBorders>
              <w:top w:val="single" w:sz="12" w:space="0" w:color="auto"/>
            </w:tcBorders>
            <w:vAlign w:val="center"/>
          </w:tcPr>
          <w:p w:rsidR="00BA6265" w:rsidRPr="005A4259" w:rsidRDefault="00BA6265" w:rsidP="00AF1DEC">
            <w:pPr>
              <w:jc w:val="center"/>
              <w:rPr>
                <w:sz w:val="20"/>
                <w:szCs w:val="20"/>
              </w:rPr>
            </w:pPr>
            <w:r w:rsidRPr="005A4259">
              <w:rPr>
                <w:sz w:val="20"/>
                <w:szCs w:val="20"/>
              </w:rPr>
              <w:t>183</w:t>
            </w:r>
          </w:p>
        </w:tc>
        <w:tc>
          <w:tcPr>
            <w:tcW w:w="1849" w:type="dxa"/>
            <w:tcBorders>
              <w:top w:val="single" w:sz="12" w:space="0" w:color="auto"/>
            </w:tcBorders>
            <w:vAlign w:val="center"/>
          </w:tcPr>
          <w:p w:rsidR="00BA6265" w:rsidRPr="005A4259" w:rsidRDefault="00BA6265" w:rsidP="00AF1DEC">
            <w:pPr>
              <w:jc w:val="center"/>
              <w:rPr>
                <w:sz w:val="20"/>
                <w:szCs w:val="20"/>
              </w:rPr>
            </w:pPr>
            <w:r w:rsidRPr="005A4259">
              <w:rPr>
                <w:sz w:val="20"/>
                <w:szCs w:val="20"/>
              </w:rPr>
              <w:t>191</w:t>
            </w:r>
          </w:p>
        </w:tc>
        <w:tc>
          <w:tcPr>
            <w:tcW w:w="1259" w:type="dxa"/>
            <w:tcBorders>
              <w:top w:val="single" w:sz="12" w:space="0" w:color="auto"/>
            </w:tcBorders>
          </w:tcPr>
          <w:p w:rsidR="00BA6265" w:rsidRPr="005A4259" w:rsidRDefault="00BA6265" w:rsidP="00AF1DEC">
            <w:pPr>
              <w:jc w:val="center"/>
              <w:rPr>
                <w:sz w:val="20"/>
                <w:szCs w:val="20"/>
              </w:rPr>
            </w:pPr>
            <w:r w:rsidRPr="005A4259">
              <w:rPr>
                <w:sz w:val="20"/>
                <w:szCs w:val="20"/>
              </w:rPr>
              <w:t>437</w:t>
            </w:r>
          </w:p>
        </w:tc>
      </w:tr>
      <w:tr w:rsidR="00BA6265" w:rsidTr="005A4259">
        <w:trPr>
          <w:jc w:val="center"/>
        </w:trPr>
        <w:tc>
          <w:tcPr>
            <w:tcW w:w="2382" w:type="dxa"/>
            <w:tcBorders>
              <w:bottom w:val="single" w:sz="12" w:space="0" w:color="auto"/>
            </w:tcBorders>
          </w:tcPr>
          <w:p w:rsidR="00BA6265" w:rsidRPr="005A4259" w:rsidRDefault="00BA6265" w:rsidP="005A4259">
            <w:pPr>
              <w:rPr>
                <w:sz w:val="20"/>
                <w:szCs w:val="20"/>
              </w:rPr>
            </w:pPr>
            <w:r w:rsidRPr="005A4259">
              <w:rPr>
                <w:sz w:val="20"/>
                <w:szCs w:val="20"/>
              </w:rPr>
              <w:t>Birth weight (kg)</w:t>
            </w:r>
          </w:p>
        </w:tc>
        <w:tc>
          <w:tcPr>
            <w:tcW w:w="1848" w:type="dxa"/>
            <w:tcBorders>
              <w:bottom w:val="single" w:sz="12" w:space="0" w:color="auto"/>
            </w:tcBorders>
            <w:vAlign w:val="center"/>
          </w:tcPr>
          <w:p w:rsidR="00BA6265" w:rsidRPr="005A4259" w:rsidRDefault="00BA6265" w:rsidP="00AF1DEC">
            <w:pPr>
              <w:jc w:val="center"/>
              <w:rPr>
                <w:sz w:val="20"/>
                <w:szCs w:val="20"/>
              </w:rPr>
            </w:pPr>
            <w:r w:rsidRPr="005A4259">
              <w:rPr>
                <w:sz w:val="20"/>
                <w:szCs w:val="20"/>
              </w:rPr>
              <w:t>2.914</w:t>
            </w:r>
          </w:p>
        </w:tc>
        <w:tc>
          <w:tcPr>
            <w:tcW w:w="1848" w:type="dxa"/>
            <w:tcBorders>
              <w:bottom w:val="single" w:sz="12" w:space="0" w:color="auto"/>
            </w:tcBorders>
            <w:vAlign w:val="center"/>
          </w:tcPr>
          <w:p w:rsidR="00BA6265" w:rsidRPr="005A4259" w:rsidRDefault="00BA6265" w:rsidP="00AF1DEC">
            <w:pPr>
              <w:jc w:val="center"/>
              <w:rPr>
                <w:sz w:val="20"/>
                <w:szCs w:val="20"/>
              </w:rPr>
            </w:pPr>
            <w:r w:rsidRPr="005A4259">
              <w:rPr>
                <w:sz w:val="20"/>
                <w:szCs w:val="20"/>
              </w:rPr>
              <w:t>3.063</w:t>
            </w:r>
          </w:p>
        </w:tc>
        <w:tc>
          <w:tcPr>
            <w:tcW w:w="1849" w:type="dxa"/>
            <w:tcBorders>
              <w:bottom w:val="single" w:sz="12" w:space="0" w:color="auto"/>
            </w:tcBorders>
            <w:vAlign w:val="center"/>
          </w:tcPr>
          <w:p w:rsidR="00BA6265" w:rsidRPr="005A4259" w:rsidRDefault="00BA6265" w:rsidP="00AF1DEC">
            <w:pPr>
              <w:jc w:val="center"/>
              <w:rPr>
                <w:sz w:val="20"/>
                <w:szCs w:val="20"/>
              </w:rPr>
            </w:pPr>
            <w:r w:rsidRPr="005A4259">
              <w:rPr>
                <w:sz w:val="20"/>
                <w:szCs w:val="20"/>
              </w:rPr>
              <w:t>2.963</w:t>
            </w:r>
          </w:p>
        </w:tc>
        <w:tc>
          <w:tcPr>
            <w:tcW w:w="1259" w:type="dxa"/>
            <w:tcBorders>
              <w:bottom w:val="single" w:sz="12" w:space="0" w:color="auto"/>
            </w:tcBorders>
          </w:tcPr>
          <w:p w:rsidR="00BA6265" w:rsidRPr="005A4259" w:rsidRDefault="00BA6265" w:rsidP="00AF1DEC">
            <w:pPr>
              <w:jc w:val="center"/>
              <w:rPr>
                <w:sz w:val="20"/>
                <w:szCs w:val="20"/>
              </w:rPr>
            </w:pPr>
          </w:p>
        </w:tc>
      </w:tr>
      <w:tr w:rsidR="00BA6265" w:rsidTr="005A4259">
        <w:trPr>
          <w:jc w:val="center"/>
        </w:trPr>
        <w:tc>
          <w:tcPr>
            <w:tcW w:w="2382" w:type="dxa"/>
            <w:tcBorders>
              <w:top w:val="single" w:sz="12" w:space="0" w:color="auto"/>
            </w:tcBorders>
            <w:vAlign w:val="center"/>
          </w:tcPr>
          <w:p w:rsidR="00BA6265" w:rsidRPr="005A4259" w:rsidRDefault="00BA6265" w:rsidP="005A4259">
            <w:pPr>
              <w:rPr>
                <w:sz w:val="20"/>
                <w:szCs w:val="20"/>
              </w:rPr>
            </w:pPr>
            <w:r w:rsidRPr="005A4259">
              <w:rPr>
                <w:sz w:val="20"/>
                <w:szCs w:val="20"/>
              </w:rPr>
              <w:t>n</w:t>
            </w:r>
          </w:p>
        </w:tc>
        <w:tc>
          <w:tcPr>
            <w:tcW w:w="1848" w:type="dxa"/>
            <w:tcBorders>
              <w:top w:val="single" w:sz="12" w:space="0" w:color="auto"/>
            </w:tcBorders>
            <w:vAlign w:val="center"/>
          </w:tcPr>
          <w:p w:rsidR="00BA6265" w:rsidRPr="005A4259" w:rsidRDefault="00BA6265" w:rsidP="00AF1DEC">
            <w:pPr>
              <w:jc w:val="center"/>
              <w:rPr>
                <w:sz w:val="20"/>
                <w:szCs w:val="20"/>
              </w:rPr>
            </w:pPr>
            <w:r w:rsidRPr="005A4259">
              <w:rPr>
                <w:sz w:val="20"/>
                <w:szCs w:val="20"/>
              </w:rPr>
              <w:t>63</w:t>
            </w:r>
          </w:p>
        </w:tc>
        <w:tc>
          <w:tcPr>
            <w:tcW w:w="1848" w:type="dxa"/>
            <w:tcBorders>
              <w:top w:val="single" w:sz="12" w:space="0" w:color="auto"/>
            </w:tcBorders>
            <w:vAlign w:val="center"/>
          </w:tcPr>
          <w:p w:rsidR="00BA6265" w:rsidRPr="005A4259" w:rsidRDefault="00BA6265" w:rsidP="00AF1DEC">
            <w:pPr>
              <w:jc w:val="center"/>
              <w:rPr>
                <w:sz w:val="20"/>
                <w:szCs w:val="20"/>
              </w:rPr>
            </w:pPr>
            <w:r w:rsidRPr="005A4259">
              <w:rPr>
                <w:sz w:val="20"/>
                <w:szCs w:val="20"/>
              </w:rPr>
              <w:t>167</w:t>
            </w:r>
          </w:p>
        </w:tc>
        <w:tc>
          <w:tcPr>
            <w:tcW w:w="1849" w:type="dxa"/>
            <w:tcBorders>
              <w:top w:val="single" w:sz="12" w:space="0" w:color="auto"/>
            </w:tcBorders>
            <w:vAlign w:val="center"/>
          </w:tcPr>
          <w:p w:rsidR="00BA6265" w:rsidRPr="005A4259" w:rsidRDefault="00BA6265" w:rsidP="00AF1DEC">
            <w:pPr>
              <w:jc w:val="center"/>
              <w:rPr>
                <w:sz w:val="20"/>
                <w:szCs w:val="20"/>
              </w:rPr>
            </w:pPr>
            <w:r w:rsidRPr="005A4259">
              <w:rPr>
                <w:sz w:val="20"/>
                <w:szCs w:val="20"/>
              </w:rPr>
              <w:t>187</w:t>
            </w:r>
          </w:p>
        </w:tc>
        <w:tc>
          <w:tcPr>
            <w:tcW w:w="1259" w:type="dxa"/>
            <w:tcBorders>
              <w:top w:val="single" w:sz="12" w:space="0" w:color="auto"/>
            </w:tcBorders>
          </w:tcPr>
          <w:p w:rsidR="00BA6265" w:rsidRPr="005A4259" w:rsidRDefault="00BA6265" w:rsidP="00AF1DEC">
            <w:pPr>
              <w:jc w:val="center"/>
              <w:rPr>
                <w:sz w:val="20"/>
                <w:szCs w:val="20"/>
              </w:rPr>
            </w:pPr>
          </w:p>
        </w:tc>
      </w:tr>
      <w:tr w:rsidR="00BA6265" w:rsidTr="005A4259">
        <w:trPr>
          <w:jc w:val="center"/>
        </w:trPr>
        <w:tc>
          <w:tcPr>
            <w:tcW w:w="2382" w:type="dxa"/>
            <w:tcBorders>
              <w:bottom w:val="single" w:sz="12" w:space="0" w:color="auto"/>
            </w:tcBorders>
          </w:tcPr>
          <w:p w:rsidR="00BA6265" w:rsidRPr="005A4259" w:rsidRDefault="00BA6265" w:rsidP="005A4259">
            <w:pPr>
              <w:rPr>
                <w:sz w:val="20"/>
                <w:szCs w:val="20"/>
              </w:rPr>
            </w:pPr>
            <w:r w:rsidRPr="005A4259">
              <w:rPr>
                <w:sz w:val="20"/>
                <w:szCs w:val="20"/>
              </w:rPr>
              <w:t>Gestational age (weeks)</w:t>
            </w:r>
          </w:p>
        </w:tc>
        <w:tc>
          <w:tcPr>
            <w:tcW w:w="1848" w:type="dxa"/>
            <w:tcBorders>
              <w:bottom w:val="single" w:sz="12" w:space="0" w:color="auto"/>
            </w:tcBorders>
            <w:vAlign w:val="center"/>
          </w:tcPr>
          <w:p w:rsidR="00BA6265" w:rsidRPr="005A4259" w:rsidRDefault="00BA6265" w:rsidP="00AF1DEC">
            <w:pPr>
              <w:jc w:val="center"/>
              <w:rPr>
                <w:sz w:val="20"/>
                <w:szCs w:val="20"/>
              </w:rPr>
            </w:pPr>
            <w:r w:rsidRPr="005A4259">
              <w:rPr>
                <w:sz w:val="20"/>
                <w:szCs w:val="20"/>
              </w:rPr>
              <w:t>37.5</w:t>
            </w:r>
          </w:p>
        </w:tc>
        <w:tc>
          <w:tcPr>
            <w:tcW w:w="1848" w:type="dxa"/>
            <w:tcBorders>
              <w:bottom w:val="single" w:sz="12" w:space="0" w:color="auto"/>
            </w:tcBorders>
            <w:vAlign w:val="center"/>
          </w:tcPr>
          <w:p w:rsidR="00BA6265" w:rsidRPr="005A4259" w:rsidRDefault="00BA6265" w:rsidP="00AF1DEC">
            <w:pPr>
              <w:jc w:val="center"/>
              <w:rPr>
                <w:sz w:val="20"/>
                <w:szCs w:val="20"/>
              </w:rPr>
            </w:pPr>
            <w:r w:rsidRPr="005A4259">
              <w:rPr>
                <w:sz w:val="20"/>
                <w:szCs w:val="20"/>
              </w:rPr>
              <w:t>38.07</w:t>
            </w:r>
          </w:p>
        </w:tc>
        <w:tc>
          <w:tcPr>
            <w:tcW w:w="1849" w:type="dxa"/>
            <w:tcBorders>
              <w:bottom w:val="single" w:sz="12" w:space="0" w:color="auto"/>
            </w:tcBorders>
            <w:vAlign w:val="center"/>
          </w:tcPr>
          <w:p w:rsidR="00BA6265" w:rsidRPr="005A4259" w:rsidRDefault="00BA6265" w:rsidP="00AF1DEC">
            <w:pPr>
              <w:jc w:val="center"/>
              <w:rPr>
                <w:sz w:val="20"/>
                <w:szCs w:val="20"/>
              </w:rPr>
            </w:pPr>
            <w:r w:rsidRPr="005A4259">
              <w:rPr>
                <w:sz w:val="20"/>
                <w:szCs w:val="20"/>
              </w:rPr>
              <w:t>38.00</w:t>
            </w:r>
          </w:p>
        </w:tc>
        <w:tc>
          <w:tcPr>
            <w:tcW w:w="1259" w:type="dxa"/>
            <w:tcBorders>
              <w:bottom w:val="single" w:sz="12" w:space="0" w:color="auto"/>
            </w:tcBorders>
          </w:tcPr>
          <w:p w:rsidR="00BA6265" w:rsidRPr="005A4259" w:rsidRDefault="00BA6265" w:rsidP="00AF1DEC">
            <w:pPr>
              <w:jc w:val="center"/>
              <w:rPr>
                <w:sz w:val="20"/>
                <w:szCs w:val="20"/>
              </w:rPr>
            </w:pPr>
          </w:p>
        </w:tc>
      </w:tr>
      <w:tr w:rsidR="00BA6265" w:rsidTr="005A4259">
        <w:trPr>
          <w:jc w:val="center"/>
        </w:trPr>
        <w:tc>
          <w:tcPr>
            <w:tcW w:w="2382" w:type="dxa"/>
            <w:tcBorders>
              <w:top w:val="single" w:sz="12" w:space="0" w:color="auto"/>
            </w:tcBorders>
            <w:vAlign w:val="center"/>
          </w:tcPr>
          <w:p w:rsidR="00BA6265" w:rsidRPr="005A4259" w:rsidRDefault="00BA6265" w:rsidP="005A4259">
            <w:pPr>
              <w:rPr>
                <w:sz w:val="20"/>
                <w:szCs w:val="20"/>
              </w:rPr>
            </w:pPr>
            <w:r w:rsidRPr="005A4259">
              <w:rPr>
                <w:sz w:val="20"/>
                <w:szCs w:val="20"/>
              </w:rPr>
              <w:t>n</w:t>
            </w:r>
          </w:p>
        </w:tc>
        <w:tc>
          <w:tcPr>
            <w:tcW w:w="1848" w:type="dxa"/>
            <w:tcBorders>
              <w:top w:val="single" w:sz="12" w:space="0" w:color="auto"/>
            </w:tcBorders>
            <w:vAlign w:val="center"/>
          </w:tcPr>
          <w:p w:rsidR="00BA6265" w:rsidRPr="005A4259" w:rsidRDefault="00BA6265" w:rsidP="00AF1DEC">
            <w:pPr>
              <w:jc w:val="center"/>
              <w:rPr>
                <w:sz w:val="20"/>
                <w:szCs w:val="20"/>
              </w:rPr>
            </w:pPr>
            <w:r w:rsidRPr="005A4259">
              <w:rPr>
                <w:sz w:val="20"/>
                <w:szCs w:val="20"/>
              </w:rPr>
              <w:t>67</w:t>
            </w:r>
          </w:p>
        </w:tc>
        <w:tc>
          <w:tcPr>
            <w:tcW w:w="1848" w:type="dxa"/>
            <w:tcBorders>
              <w:top w:val="single" w:sz="12" w:space="0" w:color="auto"/>
            </w:tcBorders>
            <w:vAlign w:val="center"/>
          </w:tcPr>
          <w:p w:rsidR="00BA6265" w:rsidRPr="005A4259" w:rsidRDefault="00BA6265" w:rsidP="00AF1DEC">
            <w:pPr>
              <w:jc w:val="center"/>
              <w:rPr>
                <w:sz w:val="20"/>
                <w:szCs w:val="20"/>
              </w:rPr>
            </w:pPr>
            <w:r w:rsidRPr="005A4259">
              <w:rPr>
                <w:sz w:val="20"/>
                <w:szCs w:val="20"/>
              </w:rPr>
              <w:t>204</w:t>
            </w:r>
          </w:p>
        </w:tc>
        <w:tc>
          <w:tcPr>
            <w:tcW w:w="1849" w:type="dxa"/>
            <w:tcBorders>
              <w:top w:val="single" w:sz="12" w:space="0" w:color="auto"/>
            </w:tcBorders>
            <w:vAlign w:val="center"/>
          </w:tcPr>
          <w:p w:rsidR="00BA6265" w:rsidRPr="005A4259" w:rsidRDefault="00BA6265" w:rsidP="00AF1DEC">
            <w:pPr>
              <w:jc w:val="center"/>
              <w:rPr>
                <w:sz w:val="20"/>
                <w:szCs w:val="20"/>
              </w:rPr>
            </w:pPr>
            <w:r w:rsidRPr="005A4259">
              <w:rPr>
                <w:sz w:val="20"/>
                <w:szCs w:val="20"/>
              </w:rPr>
              <w:t>255</w:t>
            </w:r>
          </w:p>
        </w:tc>
        <w:tc>
          <w:tcPr>
            <w:tcW w:w="1259" w:type="dxa"/>
            <w:tcBorders>
              <w:top w:val="single" w:sz="12" w:space="0" w:color="auto"/>
            </w:tcBorders>
          </w:tcPr>
          <w:p w:rsidR="00BA6265" w:rsidRPr="005A4259" w:rsidRDefault="00BA6265" w:rsidP="00AF1DEC">
            <w:pPr>
              <w:jc w:val="center"/>
              <w:rPr>
                <w:sz w:val="20"/>
                <w:szCs w:val="20"/>
              </w:rPr>
            </w:pPr>
          </w:p>
        </w:tc>
      </w:tr>
      <w:tr w:rsidR="00BA6265" w:rsidTr="005A4259">
        <w:trPr>
          <w:jc w:val="center"/>
        </w:trPr>
        <w:tc>
          <w:tcPr>
            <w:tcW w:w="2382" w:type="dxa"/>
            <w:tcBorders>
              <w:bottom w:val="single" w:sz="12" w:space="0" w:color="auto"/>
            </w:tcBorders>
          </w:tcPr>
          <w:p w:rsidR="00BA6265" w:rsidRPr="005A4259" w:rsidRDefault="00BA6265" w:rsidP="005A4259">
            <w:pPr>
              <w:rPr>
                <w:sz w:val="20"/>
                <w:szCs w:val="20"/>
              </w:rPr>
            </w:pPr>
            <w:r w:rsidRPr="005A4259">
              <w:rPr>
                <w:sz w:val="20"/>
                <w:szCs w:val="20"/>
              </w:rPr>
              <w:t>Mean age (months)</w:t>
            </w:r>
          </w:p>
        </w:tc>
        <w:tc>
          <w:tcPr>
            <w:tcW w:w="1848" w:type="dxa"/>
            <w:tcBorders>
              <w:bottom w:val="single" w:sz="12" w:space="0" w:color="auto"/>
            </w:tcBorders>
            <w:vAlign w:val="center"/>
          </w:tcPr>
          <w:p w:rsidR="00BA6265" w:rsidRPr="005A4259" w:rsidRDefault="00BA6265" w:rsidP="00AF1DEC">
            <w:pPr>
              <w:jc w:val="center"/>
              <w:rPr>
                <w:sz w:val="20"/>
                <w:szCs w:val="20"/>
              </w:rPr>
            </w:pPr>
            <w:r w:rsidRPr="005A4259">
              <w:rPr>
                <w:sz w:val="20"/>
                <w:szCs w:val="20"/>
              </w:rPr>
              <w:t>18.97</w:t>
            </w:r>
          </w:p>
        </w:tc>
        <w:tc>
          <w:tcPr>
            <w:tcW w:w="1848" w:type="dxa"/>
            <w:tcBorders>
              <w:bottom w:val="single" w:sz="12" w:space="0" w:color="auto"/>
            </w:tcBorders>
            <w:vAlign w:val="center"/>
          </w:tcPr>
          <w:p w:rsidR="00BA6265" w:rsidRPr="005A4259" w:rsidRDefault="00BA6265" w:rsidP="00AF1DEC">
            <w:pPr>
              <w:jc w:val="center"/>
              <w:rPr>
                <w:sz w:val="20"/>
                <w:szCs w:val="20"/>
              </w:rPr>
            </w:pPr>
            <w:r w:rsidRPr="005A4259">
              <w:rPr>
                <w:sz w:val="20"/>
                <w:szCs w:val="20"/>
              </w:rPr>
              <w:t>16.86</w:t>
            </w:r>
          </w:p>
        </w:tc>
        <w:tc>
          <w:tcPr>
            <w:tcW w:w="1849" w:type="dxa"/>
            <w:tcBorders>
              <w:bottom w:val="single" w:sz="12" w:space="0" w:color="auto"/>
            </w:tcBorders>
            <w:vAlign w:val="center"/>
          </w:tcPr>
          <w:p w:rsidR="00BA6265" w:rsidRPr="005A4259" w:rsidRDefault="00BA6265" w:rsidP="00AF1DEC">
            <w:pPr>
              <w:jc w:val="center"/>
              <w:rPr>
                <w:sz w:val="20"/>
                <w:szCs w:val="20"/>
              </w:rPr>
            </w:pPr>
            <w:r w:rsidRPr="005A4259">
              <w:rPr>
                <w:sz w:val="20"/>
                <w:szCs w:val="20"/>
              </w:rPr>
              <w:t>24.4</w:t>
            </w:r>
          </w:p>
        </w:tc>
        <w:tc>
          <w:tcPr>
            <w:tcW w:w="1259" w:type="dxa"/>
            <w:tcBorders>
              <w:bottom w:val="single" w:sz="12" w:space="0" w:color="auto"/>
            </w:tcBorders>
          </w:tcPr>
          <w:p w:rsidR="00BA6265" w:rsidRPr="005A4259" w:rsidRDefault="00BA6265" w:rsidP="00AF1DEC">
            <w:pPr>
              <w:jc w:val="center"/>
              <w:rPr>
                <w:sz w:val="20"/>
                <w:szCs w:val="20"/>
              </w:rPr>
            </w:pPr>
          </w:p>
        </w:tc>
      </w:tr>
      <w:tr w:rsidR="00BA6265" w:rsidTr="005A4259">
        <w:trPr>
          <w:jc w:val="center"/>
        </w:trPr>
        <w:tc>
          <w:tcPr>
            <w:tcW w:w="2382" w:type="dxa"/>
            <w:tcBorders>
              <w:top w:val="single" w:sz="12" w:space="0" w:color="auto"/>
            </w:tcBorders>
          </w:tcPr>
          <w:p w:rsidR="00BA6265" w:rsidRPr="005A4259" w:rsidRDefault="00BA6265" w:rsidP="005A4259">
            <w:pPr>
              <w:rPr>
                <w:sz w:val="20"/>
                <w:szCs w:val="20"/>
              </w:rPr>
            </w:pPr>
            <w:r w:rsidRPr="005A4259">
              <w:rPr>
                <w:sz w:val="20"/>
                <w:szCs w:val="20"/>
              </w:rPr>
              <w:t>Antibiotics (5 weeks) n</w:t>
            </w:r>
          </w:p>
        </w:tc>
        <w:tc>
          <w:tcPr>
            <w:tcW w:w="1848" w:type="dxa"/>
            <w:tcBorders>
              <w:top w:val="single" w:sz="12" w:space="0" w:color="auto"/>
            </w:tcBorders>
            <w:vAlign w:val="center"/>
          </w:tcPr>
          <w:p w:rsidR="00BA6265" w:rsidRPr="005A4259" w:rsidRDefault="00BA6265" w:rsidP="00AF1DEC">
            <w:pPr>
              <w:jc w:val="center"/>
              <w:rPr>
                <w:sz w:val="20"/>
                <w:szCs w:val="20"/>
              </w:rPr>
            </w:pPr>
            <w:r w:rsidRPr="005A4259">
              <w:rPr>
                <w:sz w:val="20"/>
                <w:szCs w:val="20"/>
              </w:rPr>
              <w:t>65</w:t>
            </w:r>
          </w:p>
        </w:tc>
        <w:tc>
          <w:tcPr>
            <w:tcW w:w="1848" w:type="dxa"/>
            <w:tcBorders>
              <w:top w:val="single" w:sz="12" w:space="0" w:color="auto"/>
            </w:tcBorders>
            <w:vAlign w:val="center"/>
          </w:tcPr>
          <w:p w:rsidR="00BA6265" w:rsidRPr="005A4259" w:rsidRDefault="00BA6265" w:rsidP="00AF1DEC">
            <w:pPr>
              <w:jc w:val="center"/>
              <w:rPr>
                <w:sz w:val="20"/>
                <w:szCs w:val="20"/>
              </w:rPr>
            </w:pPr>
            <w:r w:rsidRPr="005A4259">
              <w:rPr>
                <w:sz w:val="20"/>
                <w:szCs w:val="20"/>
              </w:rPr>
              <w:t>195</w:t>
            </w:r>
          </w:p>
        </w:tc>
        <w:tc>
          <w:tcPr>
            <w:tcW w:w="1849" w:type="dxa"/>
            <w:tcBorders>
              <w:top w:val="single" w:sz="12" w:space="0" w:color="auto"/>
            </w:tcBorders>
            <w:vAlign w:val="center"/>
          </w:tcPr>
          <w:p w:rsidR="00BA6265" w:rsidRPr="005A4259" w:rsidRDefault="00BA6265" w:rsidP="00AF1DEC">
            <w:pPr>
              <w:jc w:val="center"/>
              <w:rPr>
                <w:sz w:val="20"/>
                <w:szCs w:val="20"/>
              </w:rPr>
            </w:pPr>
            <w:r w:rsidRPr="005A4259">
              <w:rPr>
                <w:sz w:val="20"/>
                <w:szCs w:val="20"/>
              </w:rPr>
              <w:t>242</w:t>
            </w:r>
          </w:p>
        </w:tc>
        <w:tc>
          <w:tcPr>
            <w:tcW w:w="1259" w:type="dxa"/>
            <w:tcBorders>
              <w:top w:val="single" w:sz="12" w:space="0" w:color="auto"/>
            </w:tcBorders>
          </w:tcPr>
          <w:p w:rsidR="00BA6265" w:rsidRPr="005A4259" w:rsidRDefault="00BA6265" w:rsidP="00AF1DEC">
            <w:pPr>
              <w:jc w:val="center"/>
              <w:rPr>
                <w:sz w:val="20"/>
                <w:szCs w:val="20"/>
              </w:rPr>
            </w:pPr>
          </w:p>
        </w:tc>
      </w:tr>
      <w:tr w:rsidR="00BA6265" w:rsidTr="005A4259">
        <w:trPr>
          <w:jc w:val="center"/>
        </w:trPr>
        <w:tc>
          <w:tcPr>
            <w:tcW w:w="2382" w:type="dxa"/>
            <w:vAlign w:val="center"/>
          </w:tcPr>
          <w:p w:rsidR="00BA6265" w:rsidRPr="005A4259" w:rsidRDefault="00BA6265" w:rsidP="005A4259">
            <w:pPr>
              <w:rPr>
                <w:sz w:val="20"/>
                <w:szCs w:val="20"/>
              </w:rPr>
            </w:pPr>
            <w:r w:rsidRPr="005A4259">
              <w:rPr>
                <w:sz w:val="20"/>
                <w:szCs w:val="20"/>
              </w:rPr>
              <w:t>any</w:t>
            </w:r>
          </w:p>
        </w:tc>
        <w:tc>
          <w:tcPr>
            <w:tcW w:w="1848" w:type="dxa"/>
            <w:vAlign w:val="center"/>
          </w:tcPr>
          <w:p w:rsidR="00BA6265" w:rsidRPr="005A4259" w:rsidRDefault="00BA6265" w:rsidP="00AF1DEC">
            <w:pPr>
              <w:jc w:val="center"/>
              <w:rPr>
                <w:sz w:val="20"/>
                <w:szCs w:val="20"/>
              </w:rPr>
            </w:pPr>
            <w:r w:rsidRPr="005A4259">
              <w:rPr>
                <w:sz w:val="20"/>
                <w:szCs w:val="20"/>
              </w:rPr>
              <w:t>25%</w:t>
            </w:r>
          </w:p>
        </w:tc>
        <w:tc>
          <w:tcPr>
            <w:tcW w:w="1848" w:type="dxa"/>
            <w:vAlign w:val="center"/>
          </w:tcPr>
          <w:p w:rsidR="00BA6265" w:rsidRPr="005A4259" w:rsidRDefault="00BA6265" w:rsidP="00AF1DEC">
            <w:pPr>
              <w:jc w:val="center"/>
              <w:rPr>
                <w:sz w:val="20"/>
                <w:szCs w:val="20"/>
              </w:rPr>
            </w:pPr>
            <w:r w:rsidRPr="005A4259">
              <w:rPr>
                <w:sz w:val="20"/>
                <w:szCs w:val="20"/>
              </w:rPr>
              <w:t>23%</w:t>
            </w:r>
          </w:p>
        </w:tc>
        <w:tc>
          <w:tcPr>
            <w:tcW w:w="1849" w:type="dxa"/>
            <w:vAlign w:val="center"/>
          </w:tcPr>
          <w:p w:rsidR="00BA6265" w:rsidRPr="005A4259" w:rsidRDefault="00BA6265" w:rsidP="00AF1DEC">
            <w:pPr>
              <w:jc w:val="center"/>
              <w:rPr>
                <w:sz w:val="20"/>
                <w:szCs w:val="20"/>
              </w:rPr>
            </w:pPr>
            <w:r w:rsidRPr="005A4259">
              <w:rPr>
                <w:sz w:val="20"/>
                <w:szCs w:val="20"/>
              </w:rPr>
              <w:t>36%</w:t>
            </w:r>
          </w:p>
        </w:tc>
        <w:tc>
          <w:tcPr>
            <w:tcW w:w="1259" w:type="dxa"/>
          </w:tcPr>
          <w:p w:rsidR="00BA6265" w:rsidRPr="005A4259" w:rsidRDefault="00BA6265" w:rsidP="00AF1DEC">
            <w:pPr>
              <w:jc w:val="center"/>
              <w:rPr>
                <w:b/>
                <w:sz w:val="20"/>
                <w:szCs w:val="20"/>
              </w:rPr>
            </w:pPr>
            <w:r w:rsidRPr="005A4259">
              <w:rPr>
                <w:b/>
                <w:sz w:val="20"/>
                <w:szCs w:val="20"/>
              </w:rPr>
              <w:t>p=0.007</w:t>
            </w:r>
          </w:p>
        </w:tc>
      </w:tr>
      <w:tr w:rsidR="00BA6265" w:rsidTr="005A4259">
        <w:trPr>
          <w:jc w:val="center"/>
        </w:trPr>
        <w:tc>
          <w:tcPr>
            <w:tcW w:w="2382" w:type="dxa"/>
            <w:vAlign w:val="center"/>
          </w:tcPr>
          <w:p w:rsidR="00BA6265" w:rsidRPr="005A4259" w:rsidRDefault="00BA6265" w:rsidP="005A4259">
            <w:pPr>
              <w:rPr>
                <w:sz w:val="20"/>
                <w:szCs w:val="20"/>
              </w:rPr>
            </w:pPr>
            <w:proofErr w:type="spellStart"/>
            <w:r w:rsidRPr="005A4259">
              <w:rPr>
                <w:sz w:val="20"/>
                <w:szCs w:val="20"/>
              </w:rPr>
              <w:t>betalactam</w:t>
            </w:r>
            <w:proofErr w:type="spellEnd"/>
          </w:p>
        </w:tc>
        <w:tc>
          <w:tcPr>
            <w:tcW w:w="1848" w:type="dxa"/>
            <w:vAlign w:val="center"/>
          </w:tcPr>
          <w:p w:rsidR="00BA6265" w:rsidRPr="005A4259" w:rsidRDefault="00BA6265" w:rsidP="00AF1DEC">
            <w:pPr>
              <w:jc w:val="center"/>
              <w:rPr>
                <w:sz w:val="20"/>
                <w:szCs w:val="20"/>
              </w:rPr>
            </w:pPr>
            <w:r w:rsidRPr="005A4259">
              <w:rPr>
                <w:sz w:val="20"/>
                <w:szCs w:val="20"/>
              </w:rPr>
              <w:t>64%</w:t>
            </w:r>
          </w:p>
        </w:tc>
        <w:tc>
          <w:tcPr>
            <w:tcW w:w="1848" w:type="dxa"/>
            <w:vAlign w:val="center"/>
          </w:tcPr>
          <w:p w:rsidR="00BA6265" w:rsidRPr="005A4259" w:rsidRDefault="00BA6265" w:rsidP="00AF1DEC">
            <w:pPr>
              <w:jc w:val="center"/>
              <w:rPr>
                <w:sz w:val="20"/>
                <w:szCs w:val="20"/>
              </w:rPr>
            </w:pPr>
            <w:r w:rsidRPr="005A4259">
              <w:rPr>
                <w:sz w:val="20"/>
                <w:szCs w:val="20"/>
              </w:rPr>
              <w:t>83%</w:t>
            </w:r>
          </w:p>
        </w:tc>
        <w:tc>
          <w:tcPr>
            <w:tcW w:w="1849" w:type="dxa"/>
            <w:vAlign w:val="center"/>
          </w:tcPr>
          <w:p w:rsidR="00BA6265" w:rsidRPr="005A4259" w:rsidRDefault="00BA6265" w:rsidP="00AF1DEC">
            <w:pPr>
              <w:jc w:val="center"/>
              <w:rPr>
                <w:sz w:val="20"/>
                <w:szCs w:val="20"/>
              </w:rPr>
            </w:pPr>
            <w:r w:rsidRPr="005A4259">
              <w:rPr>
                <w:sz w:val="20"/>
                <w:szCs w:val="20"/>
              </w:rPr>
              <w:t>82%</w:t>
            </w:r>
          </w:p>
        </w:tc>
        <w:tc>
          <w:tcPr>
            <w:tcW w:w="1259" w:type="dxa"/>
          </w:tcPr>
          <w:p w:rsidR="00BA6265" w:rsidRPr="005A4259" w:rsidRDefault="00BA6265" w:rsidP="00AF1DEC">
            <w:pPr>
              <w:jc w:val="center"/>
              <w:rPr>
                <w:sz w:val="20"/>
                <w:szCs w:val="20"/>
              </w:rPr>
            </w:pPr>
            <w:r w:rsidRPr="005A4259">
              <w:rPr>
                <w:sz w:val="20"/>
                <w:szCs w:val="20"/>
              </w:rPr>
              <w:t>p=0.284</w:t>
            </w:r>
          </w:p>
        </w:tc>
      </w:tr>
      <w:tr w:rsidR="00BA6265" w:rsidTr="005A4259">
        <w:trPr>
          <w:jc w:val="center"/>
        </w:trPr>
        <w:tc>
          <w:tcPr>
            <w:tcW w:w="2382" w:type="dxa"/>
            <w:vAlign w:val="center"/>
          </w:tcPr>
          <w:p w:rsidR="00BA6265" w:rsidRPr="005A4259" w:rsidRDefault="00BA6265" w:rsidP="005A4259">
            <w:pPr>
              <w:rPr>
                <w:sz w:val="20"/>
                <w:szCs w:val="20"/>
              </w:rPr>
            </w:pPr>
            <w:r w:rsidRPr="005A4259">
              <w:rPr>
                <w:sz w:val="20"/>
                <w:szCs w:val="20"/>
              </w:rPr>
              <w:t>macrolide</w:t>
            </w:r>
          </w:p>
        </w:tc>
        <w:tc>
          <w:tcPr>
            <w:tcW w:w="1848" w:type="dxa"/>
            <w:vAlign w:val="center"/>
          </w:tcPr>
          <w:p w:rsidR="00BA6265" w:rsidRPr="005A4259" w:rsidRDefault="00BA6265" w:rsidP="00AF1DEC">
            <w:pPr>
              <w:jc w:val="center"/>
              <w:rPr>
                <w:sz w:val="20"/>
                <w:szCs w:val="20"/>
              </w:rPr>
            </w:pPr>
            <w:r w:rsidRPr="005A4259">
              <w:rPr>
                <w:sz w:val="20"/>
                <w:szCs w:val="20"/>
              </w:rPr>
              <w:t>36%</w:t>
            </w:r>
          </w:p>
        </w:tc>
        <w:tc>
          <w:tcPr>
            <w:tcW w:w="1848" w:type="dxa"/>
            <w:vAlign w:val="center"/>
          </w:tcPr>
          <w:p w:rsidR="00BA6265" w:rsidRPr="005A4259" w:rsidRDefault="00BA6265" w:rsidP="00AF1DEC">
            <w:pPr>
              <w:jc w:val="center"/>
              <w:rPr>
                <w:sz w:val="20"/>
                <w:szCs w:val="20"/>
              </w:rPr>
            </w:pPr>
            <w:r w:rsidRPr="005A4259">
              <w:rPr>
                <w:sz w:val="20"/>
                <w:szCs w:val="20"/>
              </w:rPr>
              <w:t>13%</w:t>
            </w:r>
          </w:p>
        </w:tc>
        <w:tc>
          <w:tcPr>
            <w:tcW w:w="1849" w:type="dxa"/>
            <w:vAlign w:val="center"/>
          </w:tcPr>
          <w:p w:rsidR="00BA6265" w:rsidRPr="005A4259" w:rsidRDefault="00BA6265" w:rsidP="00AF1DEC">
            <w:pPr>
              <w:jc w:val="center"/>
              <w:rPr>
                <w:sz w:val="20"/>
                <w:szCs w:val="20"/>
              </w:rPr>
            </w:pPr>
            <w:r w:rsidRPr="005A4259">
              <w:rPr>
                <w:sz w:val="20"/>
                <w:szCs w:val="20"/>
              </w:rPr>
              <w:t>5%</w:t>
            </w:r>
          </w:p>
        </w:tc>
        <w:tc>
          <w:tcPr>
            <w:tcW w:w="1259" w:type="dxa"/>
          </w:tcPr>
          <w:p w:rsidR="00BA6265" w:rsidRPr="005A4259" w:rsidRDefault="00BA6265" w:rsidP="00AF1DEC">
            <w:pPr>
              <w:jc w:val="center"/>
              <w:rPr>
                <w:b/>
                <w:sz w:val="20"/>
                <w:szCs w:val="20"/>
              </w:rPr>
            </w:pPr>
            <w:r w:rsidRPr="005A4259">
              <w:rPr>
                <w:b/>
                <w:sz w:val="20"/>
                <w:szCs w:val="20"/>
              </w:rPr>
              <w:t>p=0.005</w:t>
            </w:r>
          </w:p>
        </w:tc>
      </w:tr>
      <w:tr w:rsidR="00BA6265" w:rsidTr="005A4259">
        <w:trPr>
          <w:jc w:val="center"/>
        </w:trPr>
        <w:tc>
          <w:tcPr>
            <w:tcW w:w="2382" w:type="dxa"/>
            <w:tcBorders>
              <w:bottom w:val="single" w:sz="12" w:space="0" w:color="auto"/>
            </w:tcBorders>
            <w:vAlign w:val="center"/>
          </w:tcPr>
          <w:p w:rsidR="00BA6265" w:rsidRPr="005A4259" w:rsidRDefault="00BA6265" w:rsidP="005A4259">
            <w:pPr>
              <w:rPr>
                <w:sz w:val="20"/>
                <w:szCs w:val="20"/>
              </w:rPr>
            </w:pPr>
            <w:r w:rsidRPr="005A4259">
              <w:rPr>
                <w:sz w:val="20"/>
                <w:szCs w:val="20"/>
              </w:rPr>
              <w:t>topical</w:t>
            </w:r>
          </w:p>
        </w:tc>
        <w:tc>
          <w:tcPr>
            <w:tcW w:w="1848" w:type="dxa"/>
            <w:tcBorders>
              <w:bottom w:val="single" w:sz="12" w:space="0" w:color="auto"/>
            </w:tcBorders>
            <w:vAlign w:val="center"/>
          </w:tcPr>
          <w:p w:rsidR="00BA6265" w:rsidRPr="005A4259" w:rsidRDefault="00BA6265" w:rsidP="00AF1DEC">
            <w:pPr>
              <w:jc w:val="center"/>
              <w:rPr>
                <w:sz w:val="20"/>
                <w:szCs w:val="20"/>
              </w:rPr>
            </w:pPr>
            <w:proofErr w:type="spellStart"/>
            <w:r w:rsidRPr="005A4259">
              <w:rPr>
                <w:sz w:val="20"/>
                <w:szCs w:val="20"/>
              </w:rPr>
              <w:t>na</w:t>
            </w:r>
            <w:proofErr w:type="spellEnd"/>
          </w:p>
        </w:tc>
        <w:tc>
          <w:tcPr>
            <w:tcW w:w="1848" w:type="dxa"/>
            <w:tcBorders>
              <w:bottom w:val="single" w:sz="12" w:space="0" w:color="auto"/>
            </w:tcBorders>
            <w:vAlign w:val="center"/>
          </w:tcPr>
          <w:p w:rsidR="00BA6265" w:rsidRPr="005A4259" w:rsidRDefault="00BA6265" w:rsidP="00AF1DEC">
            <w:pPr>
              <w:jc w:val="center"/>
              <w:rPr>
                <w:sz w:val="20"/>
                <w:szCs w:val="20"/>
              </w:rPr>
            </w:pPr>
            <w:r w:rsidRPr="005A4259">
              <w:rPr>
                <w:sz w:val="20"/>
                <w:szCs w:val="20"/>
              </w:rPr>
              <w:t>19%</w:t>
            </w:r>
          </w:p>
        </w:tc>
        <w:tc>
          <w:tcPr>
            <w:tcW w:w="1849" w:type="dxa"/>
            <w:tcBorders>
              <w:bottom w:val="single" w:sz="12" w:space="0" w:color="auto"/>
            </w:tcBorders>
            <w:vAlign w:val="center"/>
          </w:tcPr>
          <w:p w:rsidR="00BA6265" w:rsidRPr="005A4259" w:rsidRDefault="00BA6265" w:rsidP="00AF1DEC">
            <w:pPr>
              <w:jc w:val="center"/>
              <w:rPr>
                <w:sz w:val="20"/>
                <w:szCs w:val="20"/>
              </w:rPr>
            </w:pPr>
            <w:r w:rsidRPr="005A4259">
              <w:rPr>
                <w:sz w:val="20"/>
                <w:szCs w:val="20"/>
              </w:rPr>
              <w:t>22%</w:t>
            </w:r>
          </w:p>
        </w:tc>
        <w:tc>
          <w:tcPr>
            <w:tcW w:w="1259" w:type="dxa"/>
            <w:tcBorders>
              <w:bottom w:val="single" w:sz="12" w:space="0" w:color="auto"/>
            </w:tcBorders>
          </w:tcPr>
          <w:p w:rsidR="00BA6265" w:rsidRPr="005A4259" w:rsidRDefault="00BA6265" w:rsidP="00AF1DEC">
            <w:pPr>
              <w:jc w:val="center"/>
              <w:rPr>
                <w:sz w:val="20"/>
                <w:szCs w:val="20"/>
              </w:rPr>
            </w:pPr>
            <w:r w:rsidRPr="005A4259">
              <w:rPr>
                <w:sz w:val="20"/>
                <w:szCs w:val="20"/>
              </w:rPr>
              <w:t>p=0.124</w:t>
            </w:r>
          </w:p>
        </w:tc>
      </w:tr>
      <w:tr w:rsidR="00BA6265" w:rsidTr="005A4259">
        <w:trPr>
          <w:jc w:val="center"/>
        </w:trPr>
        <w:tc>
          <w:tcPr>
            <w:tcW w:w="2382" w:type="dxa"/>
            <w:tcBorders>
              <w:top w:val="single" w:sz="12" w:space="0" w:color="auto"/>
            </w:tcBorders>
          </w:tcPr>
          <w:p w:rsidR="00BA6265" w:rsidRPr="005A4259" w:rsidRDefault="00BA6265" w:rsidP="005A4259">
            <w:pPr>
              <w:rPr>
                <w:sz w:val="20"/>
                <w:szCs w:val="20"/>
              </w:rPr>
            </w:pPr>
          </w:p>
        </w:tc>
        <w:tc>
          <w:tcPr>
            <w:tcW w:w="1848" w:type="dxa"/>
            <w:tcBorders>
              <w:top w:val="single" w:sz="12" w:space="0" w:color="auto"/>
            </w:tcBorders>
            <w:vAlign w:val="center"/>
          </w:tcPr>
          <w:p w:rsidR="00BA6265" w:rsidRPr="005A4259" w:rsidRDefault="00BA6265" w:rsidP="00AF1DEC">
            <w:pPr>
              <w:jc w:val="center"/>
              <w:rPr>
                <w:sz w:val="20"/>
                <w:szCs w:val="20"/>
              </w:rPr>
            </w:pPr>
          </w:p>
        </w:tc>
        <w:tc>
          <w:tcPr>
            <w:tcW w:w="1848" w:type="dxa"/>
            <w:tcBorders>
              <w:top w:val="single" w:sz="12" w:space="0" w:color="auto"/>
            </w:tcBorders>
            <w:vAlign w:val="center"/>
          </w:tcPr>
          <w:p w:rsidR="00BA6265" w:rsidRPr="005A4259" w:rsidRDefault="00BA6265" w:rsidP="00AF1DEC">
            <w:pPr>
              <w:jc w:val="center"/>
              <w:rPr>
                <w:sz w:val="20"/>
                <w:szCs w:val="20"/>
              </w:rPr>
            </w:pPr>
          </w:p>
        </w:tc>
        <w:tc>
          <w:tcPr>
            <w:tcW w:w="1849" w:type="dxa"/>
            <w:tcBorders>
              <w:top w:val="single" w:sz="12" w:space="0" w:color="auto"/>
            </w:tcBorders>
            <w:vAlign w:val="center"/>
          </w:tcPr>
          <w:p w:rsidR="00BA6265" w:rsidRPr="005A4259" w:rsidRDefault="00BA6265" w:rsidP="00AF1DEC">
            <w:pPr>
              <w:jc w:val="center"/>
              <w:rPr>
                <w:sz w:val="20"/>
                <w:szCs w:val="20"/>
              </w:rPr>
            </w:pPr>
          </w:p>
        </w:tc>
        <w:tc>
          <w:tcPr>
            <w:tcW w:w="1259" w:type="dxa"/>
            <w:tcBorders>
              <w:top w:val="single" w:sz="12" w:space="0" w:color="auto"/>
            </w:tcBorders>
          </w:tcPr>
          <w:p w:rsidR="00BA6265" w:rsidRPr="005A4259" w:rsidRDefault="00BA6265" w:rsidP="00AF1DEC">
            <w:pPr>
              <w:jc w:val="center"/>
              <w:rPr>
                <w:sz w:val="20"/>
                <w:szCs w:val="20"/>
              </w:rPr>
            </w:pPr>
          </w:p>
        </w:tc>
      </w:tr>
      <w:tr w:rsidR="00BA6265" w:rsidTr="005A4259">
        <w:trPr>
          <w:jc w:val="center"/>
        </w:trPr>
        <w:tc>
          <w:tcPr>
            <w:tcW w:w="2382" w:type="dxa"/>
            <w:tcBorders>
              <w:bottom w:val="single" w:sz="12" w:space="0" w:color="auto"/>
            </w:tcBorders>
          </w:tcPr>
          <w:p w:rsidR="00BA6265" w:rsidRPr="005A4259" w:rsidRDefault="00BA6265" w:rsidP="005A4259">
            <w:pPr>
              <w:rPr>
                <w:sz w:val="20"/>
                <w:szCs w:val="20"/>
              </w:rPr>
            </w:pPr>
            <w:r w:rsidRPr="005A4259">
              <w:rPr>
                <w:sz w:val="20"/>
                <w:szCs w:val="20"/>
              </w:rPr>
              <w:t>male</w:t>
            </w:r>
          </w:p>
        </w:tc>
        <w:tc>
          <w:tcPr>
            <w:tcW w:w="1848" w:type="dxa"/>
            <w:tcBorders>
              <w:bottom w:val="single" w:sz="12" w:space="0" w:color="auto"/>
            </w:tcBorders>
            <w:vAlign w:val="center"/>
          </w:tcPr>
          <w:p w:rsidR="00BA6265" w:rsidRPr="005A4259" w:rsidRDefault="00BA6265" w:rsidP="00AF1DEC">
            <w:pPr>
              <w:jc w:val="center"/>
              <w:rPr>
                <w:sz w:val="20"/>
                <w:szCs w:val="20"/>
              </w:rPr>
            </w:pPr>
            <w:r w:rsidRPr="005A4259">
              <w:rPr>
                <w:sz w:val="20"/>
                <w:szCs w:val="20"/>
              </w:rPr>
              <w:t>52%</w:t>
            </w:r>
          </w:p>
        </w:tc>
        <w:tc>
          <w:tcPr>
            <w:tcW w:w="1848" w:type="dxa"/>
            <w:tcBorders>
              <w:bottom w:val="single" w:sz="12" w:space="0" w:color="auto"/>
            </w:tcBorders>
            <w:vAlign w:val="center"/>
          </w:tcPr>
          <w:p w:rsidR="00BA6265" w:rsidRPr="005A4259" w:rsidRDefault="00BA6265" w:rsidP="00AF1DEC">
            <w:pPr>
              <w:jc w:val="center"/>
              <w:rPr>
                <w:sz w:val="20"/>
                <w:szCs w:val="20"/>
              </w:rPr>
            </w:pPr>
            <w:r w:rsidRPr="005A4259">
              <w:rPr>
                <w:sz w:val="20"/>
                <w:szCs w:val="20"/>
              </w:rPr>
              <w:t>47%</w:t>
            </w:r>
          </w:p>
        </w:tc>
        <w:tc>
          <w:tcPr>
            <w:tcW w:w="1849" w:type="dxa"/>
            <w:tcBorders>
              <w:bottom w:val="single" w:sz="12" w:space="0" w:color="auto"/>
            </w:tcBorders>
            <w:vAlign w:val="center"/>
          </w:tcPr>
          <w:p w:rsidR="00BA6265" w:rsidRPr="005A4259" w:rsidRDefault="00BA6265" w:rsidP="00AF1DEC">
            <w:pPr>
              <w:jc w:val="center"/>
              <w:rPr>
                <w:sz w:val="20"/>
                <w:szCs w:val="20"/>
              </w:rPr>
            </w:pPr>
            <w:r w:rsidRPr="005A4259">
              <w:rPr>
                <w:sz w:val="20"/>
                <w:szCs w:val="20"/>
              </w:rPr>
              <w:t>50%</w:t>
            </w:r>
          </w:p>
        </w:tc>
        <w:tc>
          <w:tcPr>
            <w:tcW w:w="1259" w:type="dxa"/>
            <w:tcBorders>
              <w:bottom w:val="single" w:sz="12" w:space="0" w:color="auto"/>
            </w:tcBorders>
          </w:tcPr>
          <w:p w:rsidR="00BA6265" w:rsidRPr="005A4259" w:rsidRDefault="00BA6265" w:rsidP="00AF1DEC">
            <w:pPr>
              <w:jc w:val="center"/>
              <w:rPr>
                <w:sz w:val="20"/>
                <w:szCs w:val="20"/>
              </w:rPr>
            </w:pPr>
          </w:p>
        </w:tc>
      </w:tr>
      <w:tr w:rsidR="00BA6265" w:rsidRPr="000678F2" w:rsidTr="005A4259">
        <w:trPr>
          <w:jc w:val="center"/>
        </w:trPr>
        <w:tc>
          <w:tcPr>
            <w:tcW w:w="2382" w:type="dxa"/>
            <w:tcBorders>
              <w:top w:val="single" w:sz="12" w:space="0" w:color="auto"/>
            </w:tcBorders>
          </w:tcPr>
          <w:p w:rsidR="00BA6265" w:rsidRPr="005A4259" w:rsidRDefault="00BA6265" w:rsidP="005A4259">
            <w:pPr>
              <w:rPr>
                <w:b/>
                <w:sz w:val="20"/>
                <w:szCs w:val="20"/>
              </w:rPr>
            </w:pPr>
            <w:r w:rsidRPr="005A4259">
              <w:rPr>
                <w:b/>
                <w:sz w:val="20"/>
                <w:szCs w:val="20"/>
              </w:rPr>
              <w:t>Ear Status</w:t>
            </w:r>
          </w:p>
        </w:tc>
        <w:tc>
          <w:tcPr>
            <w:tcW w:w="1848" w:type="dxa"/>
            <w:tcBorders>
              <w:top w:val="single" w:sz="12" w:space="0" w:color="auto"/>
            </w:tcBorders>
            <w:vAlign w:val="center"/>
          </w:tcPr>
          <w:p w:rsidR="00BA6265" w:rsidRPr="005A4259" w:rsidRDefault="00BA6265" w:rsidP="00AF1DEC">
            <w:pPr>
              <w:jc w:val="center"/>
              <w:rPr>
                <w:b/>
                <w:sz w:val="20"/>
                <w:szCs w:val="20"/>
              </w:rPr>
            </w:pPr>
          </w:p>
        </w:tc>
        <w:tc>
          <w:tcPr>
            <w:tcW w:w="1848" w:type="dxa"/>
            <w:tcBorders>
              <w:top w:val="single" w:sz="12" w:space="0" w:color="auto"/>
            </w:tcBorders>
            <w:vAlign w:val="center"/>
          </w:tcPr>
          <w:p w:rsidR="00BA6265" w:rsidRPr="005A4259" w:rsidRDefault="00BA6265" w:rsidP="00AF1DEC">
            <w:pPr>
              <w:jc w:val="center"/>
              <w:rPr>
                <w:b/>
                <w:sz w:val="20"/>
                <w:szCs w:val="20"/>
              </w:rPr>
            </w:pPr>
          </w:p>
        </w:tc>
        <w:tc>
          <w:tcPr>
            <w:tcW w:w="1849" w:type="dxa"/>
            <w:tcBorders>
              <w:top w:val="single" w:sz="12" w:space="0" w:color="auto"/>
            </w:tcBorders>
            <w:vAlign w:val="center"/>
          </w:tcPr>
          <w:p w:rsidR="00BA6265" w:rsidRPr="005A4259" w:rsidRDefault="00BA6265" w:rsidP="00AF1DEC">
            <w:pPr>
              <w:jc w:val="center"/>
              <w:rPr>
                <w:b/>
                <w:sz w:val="20"/>
                <w:szCs w:val="20"/>
              </w:rPr>
            </w:pPr>
          </w:p>
        </w:tc>
        <w:tc>
          <w:tcPr>
            <w:tcW w:w="1259" w:type="dxa"/>
            <w:tcBorders>
              <w:top w:val="single" w:sz="12" w:space="0" w:color="auto"/>
            </w:tcBorders>
          </w:tcPr>
          <w:p w:rsidR="00BA6265" w:rsidRPr="005A4259" w:rsidRDefault="00BA6265" w:rsidP="00AF1DEC">
            <w:pPr>
              <w:jc w:val="center"/>
              <w:rPr>
                <w:b/>
                <w:sz w:val="20"/>
                <w:szCs w:val="20"/>
              </w:rPr>
            </w:pPr>
          </w:p>
        </w:tc>
      </w:tr>
      <w:tr w:rsidR="00BA6265" w:rsidTr="005A4259">
        <w:trPr>
          <w:jc w:val="center"/>
        </w:trPr>
        <w:tc>
          <w:tcPr>
            <w:tcW w:w="2382" w:type="dxa"/>
            <w:vAlign w:val="center"/>
          </w:tcPr>
          <w:p w:rsidR="00BA6265" w:rsidRPr="005A4259" w:rsidRDefault="00BA6265" w:rsidP="005A4259">
            <w:pPr>
              <w:rPr>
                <w:sz w:val="20"/>
                <w:szCs w:val="20"/>
              </w:rPr>
            </w:pPr>
            <w:r w:rsidRPr="005A4259">
              <w:rPr>
                <w:sz w:val="20"/>
                <w:szCs w:val="20"/>
              </w:rPr>
              <w:t>n</w:t>
            </w:r>
          </w:p>
        </w:tc>
        <w:tc>
          <w:tcPr>
            <w:tcW w:w="1848" w:type="dxa"/>
            <w:vAlign w:val="center"/>
          </w:tcPr>
          <w:p w:rsidR="00BA6265" w:rsidRPr="005A4259" w:rsidRDefault="00BA6265" w:rsidP="00AF1DEC">
            <w:pPr>
              <w:jc w:val="center"/>
              <w:rPr>
                <w:sz w:val="20"/>
                <w:szCs w:val="20"/>
              </w:rPr>
            </w:pPr>
            <w:r w:rsidRPr="005A4259">
              <w:rPr>
                <w:sz w:val="20"/>
                <w:szCs w:val="20"/>
              </w:rPr>
              <w:t>65</w:t>
            </w:r>
          </w:p>
        </w:tc>
        <w:tc>
          <w:tcPr>
            <w:tcW w:w="1848" w:type="dxa"/>
            <w:vAlign w:val="center"/>
          </w:tcPr>
          <w:p w:rsidR="00BA6265" w:rsidRPr="005A4259" w:rsidRDefault="00BA6265" w:rsidP="00AF1DEC">
            <w:pPr>
              <w:jc w:val="center"/>
              <w:rPr>
                <w:sz w:val="20"/>
                <w:szCs w:val="20"/>
              </w:rPr>
            </w:pPr>
            <w:r w:rsidRPr="005A4259">
              <w:rPr>
                <w:sz w:val="20"/>
                <w:szCs w:val="20"/>
              </w:rPr>
              <w:t>195</w:t>
            </w:r>
          </w:p>
        </w:tc>
        <w:tc>
          <w:tcPr>
            <w:tcW w:w="1849" w:type="dxa"/>
            <w:vAlign w:val="center"/>
          </w:tcPr>
          <w:p w:rsidR="00BA6265" w:rsidRPr="005A4259" w:rsidRDefault="00BA6265" w:rsidP="00AF1DEC">
            <w:pPr>
              <w:jc w:val="center"/>
              <w:rPr>
                <w:sz w:val="20"/>
                <w:szCs w:val="20"/>
              </w:rPr>
            </w:pPr>
            <w:r w:rsidRPr="005A4259">
              <w:rPr>
                <w:sz w:val="20"/>
                <w:szCs w:val="20"/>
              </w:rPr>
              <w:t>250</w:t>
            </w:r>
          </w:p>
        </w:tc>
        <w:tc>
          <w:tcPr>
            <w:tcW w:w="1259" w:type="dxa"/>
          </w:tcPr>
          <w:p w:rsidR="00BA6265" w:rsidRPr="005A4259" w:rsidRDefault="00BA6265" w:rsidP="00AF1DEC">
            <w:pPr>
              <w:jc w:val="center"/>
              <w:rPr>
                <w:sz w:val="20"/>
                <w:szCs w:val="20"/>
              </w:rPr>
            </w:pPr>
          </w:p>
        </w:tc>
      </w:tr>
      <w:tr w:rsidR="00BA6265" w:rsidTr="005A4259">
        <w:trPr>
          <w:jc w:val="center"/>
        </w:trPr>
        <w:tc>
          <w:tcPr>
            <w:tcW w:w="2382" w:type="dxa"/>
          </w:tcPr>
          <w:p w:rsidR="00BA6265" w:rsidRPr="005A4259" w:rsidRDefault="00BA6265" w:rsidP="005A4259">
            <w:pPr>
              <w:rPr>
                <w:sz w:val="20"/>
                <w:szCs w:val="20"/>
              </w:rPr>
            </w:pPr>
            <w:r w:rsidRPr="005A4259">
              <w:rPr>
                <w:sz w:val="20"/>
                <w:szCs w:val="20"/>
              </w:rPr>
              <w:t>Normal</w:t>
            </w:r>
          </w:p>
        </w:tc>
        <w:tc>
          <w:tcPr>
            <w:tcW w:w="1848" w:type="dxa"/>
            <w:vAlign w:val="center"/>
          </w:tcPr>
          <w:p w:rsidR="00BA6265" w:rsidRPr="005A4259" w:rsidRDefault="00BA6265" w:rsidP="00AF1DEC">
            <w:pPr>
              <w:jc w:val="center"/>
              <w:rPr>
                <w:sz w:val="20"/>
                <w:szCs w:val="20"/>
              </w:rPr>
            </w:pPr>
            <w:r w:rsidRPr="005A4259">
              <w:rPr>
                <w:sz w:val="20"/>
                <w:szCs w:val="20"/>
              </w:rPr>
              <w:t>11%</w:t>
            </w:r>
          </w:p>
        </w:tc>
        <w:tc>
          <w:tcPr>
            <w:tcW w:w="1848" w:type="dxa"/>
            <w:vAlign w:val="center"/>
          </w:tcPr>
          <w:p w:rsidR="00BA6265" w:rsidRPr="005A4259" w:rsidRDefault="00BA6265" w:rsidP="00AF1DEC">
            <w:pPr>
              <w:jc w:val="center"/>
              <w:rPr>
                <w:sz w:val="20"/>
                <w:szCs w:val="20"/>
              </w:rPr>
            </w:pPr>
            <w:r w:rsidRPr="005A4259">
              <w:rPr>
                <w:sz w:val="20"/>
                <w:szCs w:val="20"/>
              </w:rPr>
              <w:t>3%</w:t>
            </w:r>
          </w:p>
        </w:tc>
        <w:tc>
          <w:tcPr>
            <w:tcW w:w="1849" w:type="dxa"/>
            <w:vAlign w:val="center"/>
          </w:tcPr>
          <w:p w:rsidR="00BA6265" w:rsidRPr="005A4259" w:rsidRDefault="00BA6265" w:rsidP="00AF1DEC">
            <w:pPr>
              <w:jc w:val="center"/>
              <w:rPr>
                <w:sz w:val="20"/>
                <w:szCs w:val="20"/>
              </w:rPr>
            </w:pPr>
            <w:r w:rsidRPr="005A4259">
              <w:rPr>
                <w:sz w:val="20"/>
                <w:szCs w:val="20"/>
              </w:rPr>
              <w:t>15%</w:t>
            </w:r>
          </w:p>
        </w:tc>
        <w:tc>
          <w:tcPr>
            <w:tcW w:w="1259" w:type="dxa"/>
          </w:tcPr>
          <w:p w:rsidR="00BA6265" w:rsidRPr="005A4259" w:rsidRDefault="00BA6265" w:rsidP="00AF1DEC">
            <w:pPr>
              <w:jc w:val="center"/>
              <w:rPr>
                <w:sz w:val="20"/>
                <w:szCs w:val="20"/>
              </w:rPr>
            </w:pPr>
          </w:p>
        </w:tc>
      </w:tr>
      <w:tr w:rsidR="00BA6265" w:rsidTr="005A4259">
        <w:trPr>
          <w:jc w:val="center"/>
        </w:trPr>
        <w:tc>
          <w:tcPr>
            <w:tcW w:w="2382" w:type="dxa"/>
          </w:tcPr>
          <w:p w:rsidR="00BA6265" w:rsidRPr="005A4259" w:rsidRDefault="00BA6265" w:rsidP="005A4259">
            <w:pPr>
              <w:rPr>
                <w:sz w:val="20"/>
                <w:szCs w:val="20"/>
              </w:rPr>
            </w:pPr>
            <w:r w:rsidRPr="005A4259">
              <w:rPr>
                <w:sz w:val="20"/>
                <w:szCs w:val="20"/>
              </w:rPr>
              <w:t>OME</w:t>
            </w:r>
          </w:p>
        </w:tc>
        <w:tc>
          <w:tcPr>
            <w:tcW w:w="1848" w:type="dxa"/>
            <w:vAlign w:val="center"/>
          </w:tcPr>
          <w:p w:rsidR="00BA6265" w:rsidRPr="005A4259" w:rsidRDefault="00BA6265" w:rsidP="00AF1DEC">
            <w:pPr>
              <w:jc w:val="center"/>
              <w:rPr>
                <w:sz w:val="20"/>
                <w:szCs w:val="20"/>
              </w:rPr>
            </w:pPr>
            <w:r w:rsidRPr="005A4259">
              <w:rPr>
                <w:sz w:val="20"/>
                <w:szCs w:val="20"/>
              </w:rPr>
              <w:t>26%</w:t>
            </w:r>
          </w:p>
        </w:tc>
        <w:tc>
          <w:tcPr>
            <w:tcW w:w="1848" w:type="dxa"/>
            <w:vAlign w:val="center"/>
          </w:tcPr>
          <w:p w:rsidR="00BA6265" w:rsidRPr="005A4259" w:rsidRDefault="00BA6265" w:rsidP="00AF1DEC">
            <w:pPr>
              <w:jc w:val="center"/>
              <w:rPr>
                <w:sz w:val="20"/>
                <w:szCs w:val="20"/>
              </w:rPr>
            </w:pPr>
            <w:r w:rsidRPr="005A4259">
              <w:rPr>
                <w:sz w:val="20"/>
                <w:szCs w:val="20"/>
              </w:rPr>
              <w:t>38%</w:t>
            </w:r>
          </w:p>
        </w:tc>
        <w:tc>
          <w:tcPr>
            <w:tcW w:w="1849" w:type="dxa"/>
            <w:vAlign w:val="center"/>
          </w:tcPr>
          <w:p w:rsidR="00BA6265" w:rsidRPr="005A4259" w:rsidRDefault="00BA6265" w:rsidP="00AF1DEC">
            <w:pPr>
              <w:jc w:val="center"/>
              <w:rPr>
                <w:sz w:val="20"/>
                <w:szCs w:val="20"/>
              </w:rPr>
            </w:pPr>
            <w:r w:rsidRPr="005A4259">
              <w:rPr>
                <w:sz w:val="20"/>
                <w:szCs w:val="20"/>
              </w:rPr>
              <w:t>36%</w:t>
            </w:r>
          </w:p>
        </w:tc>
        <w:tc>
          <w:tcPr>
            <w:tcW w:w="1259" w:type="dxa"/>
          </w:tcPr>
          <w:p w:rsidR="00BA6265" w:rsidRPr="005A4259" w:rsidRDefault="00BA6265" w:rsidP="00AF1DEC">
            <w:pPr>
              <w:jc w:val="center"/>
              <w:rPr>
                <w:sz w:val="20"/>
                <w:szCs w:val="20"/>
              </w:rPr>
            </w:pPr>
            <w:r w:rsidRPr="005A4259">
              <w:rPr>
                <w:sz w:val="20"/>
                <w:szCs w:val="20"/>
              </w:rPr>
              <w:t>p=0.214</w:t>
            </w:r>
          </w:p>
        </w:tc>
      </w:tr>
      <w:tr w:rsidR="00BA6265" w:rsidTr="005A4259">
        <w:trPr>
          <w:jc w:val="center"/>
        </w:trPr>
        <w:tc>
          <w:tcPr>
            <w:tcW w:w="2382" w:type="dxa"/>
          </w:tcPr>
          <w:p w:rsidR="00BA6265" w:rsidRPr="005A4259" w:rsidRDefault="00BA6265" w:rsidP="005A4259">
            <w:pPr>
              <w:rPr>
                <w:sz w:val="20"/>
                <w:szCs w:val="20"/>
              </w:rPr>
            </w:pPr>
            <w:proofErr w:type="spellStart"/>
            <w:r w:rsidRPr="005A4259">
              <w:rPr>
                <w:sz w:val="20"/>
                <w:szCs w:val="20"/>
              </w:rPr>
              <w:t>AOMwoP</w:t>
            </w:r>
            <w:proofErr w:type="spellEnd"/>
          </w:p>
        </w:tc>
        <w:tc>
          <w:tcPr>
            <w:tcW w:w="1848" w:type="dxa"/>
            <w:vAlign w:val="center"/>
          </w:tcPr>
          <w:p w:rsidR="00BA6265" w:rsidRPr="005A4259" w:rsidRDefault="00BA6265" w:rsidP="00AF1DEC">
            <w:pPr>
              <w:jc w:val="center"/>
              <w:rPr>
                <w:sz w:val="20"/>
                <w:szCs w:val="20"/>
              </w:rPr>
            </w:pPr>
            <w:r w:rsidRPr="005A4259">
              <w:rPr>
                <w:sz w:val="20"/>
                <w:szCs w:val="20"/>
              </w:rPr>
              <w:t>40%</w:t>
            </w:r>
          </w:p>
        </w:tc>
        <w:tc>
          <w:tcPr>
            <w:tcW w:w="1848" w:type="dxa"/>
            <w:vAlign w:val="center"/>
          </w:tcPr>
          <w:p w:rsidR="00BA6265" w:rsidRPr="005A4259" w:rsidRDefault="00BA6265" w:rsidP="00AF1DEC">
            <w:pPr>
              <w:jc w:val="center"/>
              <w:rPr>
                <w:sz w:val="20"/>
                <w:szCs w:val="20"/>
              </w:rPr>
            </w:pPr>
            <w:r w:rsidRPr="005A4259">
              <w:rPr>
                <w:sz w:val="20"/>
                <w:szCs w:val="20"/>
              </w:rPr>
              <w:t>41%</w:t>
            </w:r>
          </w:p>
        </w:tc>
        <w:tc>
          <w:tcPr>
            <w:tcW w:w="1849" w:type="dxa"/>
            <w:vAlign w:val="center"/>
          </w:tcPr>
          <w:p w:rsidR="00BA6265" w:rsidRPr="005A4259" w:rsidRDefault="00BA6265" w:rsidP="00AF1DEC">
            <w:pPr>
              <w:jc w:val="center"/>
              <w:rPr>
                <w:sz w:val="20"/>
                <w:szCs w:val="20"/>
              </w:rPr>
            </w:pPr>
            <w:r w:rsidRPr="005A4259">
              <w:rPr>
                <w:sz w:val="20"/>
                <w:szCs w:val="20"/>
              </w:rPr>
              <w:t>31%</w:t>
            </w:r>
          </w:p>
        </w:tc>
        <w:tc>
          <w:tcPr>
            <w:tcW w:w="1259" w:type="dxa"/>
          </w:tcPr>
          <w:p w:rsidR="00BA6265" w:rsidRPr="005A4259" w:rsidRDefault="00BA6265" w:rsidP="00AF1DEC">
            <w:pPr>
              <w:jc w:val="center"/>
              <w:rPr>
                <w:sz w:val="20"/>
                <w:szCs w:val="20"/>
              </w:rPr>
            </w:pPr>
            <w:r w:rsidRPr="005A4259">
              <w:rPr>
                <w:sz w:val="20"/>
                <w:szCs w:val="20"/>
              </w:rPr>
              <w:t>p=0.093</w:t>
            </w:r>
          </w:p>
        </w:tc>
      </w:tr>
      <w:tr w:rsidR="00BA6265" w:rsidTr="005A4259">
        <w:trPr>
          <w:jc w:val="center"/>
        </w:trPr>
        <w:tc>
          <w:tcPr>
            <w:tcW w:w="2382" w:type="dxa"/>
          </w:tcPr>
          <w:p w:rsidR="00BA6265" w:rsidRPr="005A4259" w:rsidRDefault="00BA6265" w:rsidP="005A4259">
            <w:pPr>
              <w:rPr>
                <w:sz w:val="20"/>
                <w:szCs w:val="20"/>
              </w:rPr>
            </w:pPr>
            <w:proofErr w:type="spellStart"/>
            <w:r w:rsidRPr="005A4259">
              <w:rPr>
                <w:sz w:val="20"/>
                <w:szCs w:val="20"/>
              </w:rPr>
              <w:t>AOMwiP</w:t>
            </w:r>
            <w:proofErr w:type="spellEnd"/>
          </w:p>
        </w:tc>
        <w:tc>
          <w:tcPr>
            <w:tcW w:w="1848" w:type="dxa"/>
            <w:vAlign w:val="center"/>
          </w:tcPr>
          <w:p w:rsidR="00BA6265" w:rsidRPr="005A4259" w:rsidRDefault="00BA6265" w:rsidP="00AF1DEC">
            <w:pPr>
              <w:jc w:val="center"/>
              <w:rPr>
                <w:sz w:val="20"/>
                <w:szCs w:val="20"/>
              </w:rPr>
            </w:pPr>
            <w:r w:rsidRPr="005A4259">
              <w:rPr>
                <w:sz w:val="20"/>
                <w:szCs w:val="20"/>
              </w:rPr>
              <w:t xml:space="preserve">8% </w:t>
            </w:r>
          </w:p>
        </w:tc>
        <w:tc>
          <w:tcPr>
            <w:tcW w:w="1848" w:type="dxa"/>
            <w:vAlign w:val="center"/>
          </w:tcPr>
          <w:p w:rsidR="00BA6265" w:rsidRPr="005A4259" w:rsidRDefault="00BA6265" w:rsidP="00AF1DEC">
            <w:pPr>
              <w:jc w:val="center"/>
              <w:rPr>
                <w:sz w:val="20"/>
                <w:szCs w:val="20"/>
              </w:rPr>
            </w:pPr>
            <w:r w:rsidRPr="005A4259">
              <w:rPr>
                <w:sz w:val="20"/>
                <w:szCs w:val="20"/>
              </w:rPr>
              <w:t xml:space="preserve">6% </w:t>
            </w:r>
          </w:p>
        </w:tc>
        <w:tc>
          <w:tcPr>
            <w:tcW w:w="1849" w:type="dxa"/>
            <w:vAlign w:val="center"/>
          </w:tcPr>
          <w:p w:rsidR="00BA6265" w:rsidRPr="005A4259" w:rsidRDefault="00BA6265" w:rsidP="00AF1DEC">
            <w:pPr>
              <w:jc w:val="center"/>
              <w:rPr>
                <w:sz w:val="20"/>
                <w:szCs w:val="20"/>
              </w:rPr>
            </w:pPr>
            <w:r w:rsidRPr="005A4259">
              <w:rPr>
                <w:sz w:val="20"/>
                <w:szCs w:val="20"/>
              </w:rPr>
              <w:t xml:space="preserve">6% </w:t>
            </w:r>
          </w:p>
        </w:tc>
        <w:tc>
          <w:tcPr>
            <w:tcW w:w="1259" w:type="dxa"/>
          </w:tcPr>
          <w:p w:rsidR="00BA6265" w:rsidRPr="005A4259" w:rsidRDefault="00BA6265" w:rsidP="00AF1DEC">
            <w:pPr>
              <w:jc w:val="center"/>
              <w:rPr>
                <w:sz w:val="20"/>
                <w:szCs w:val="20"/>
              </w:rPr>
            </w:pPr>
          </w:p>
        </w:tc>
      </w:tr>
      <w:tr w:rsidR="00BA6265" w:rsidTr="005A4259">
        <w:trPr>
          <w:jc w:val="center"/>
        </w:trPr>
        <w:tc>
          <w:tcPr>
            <w:tcW w:w="2382" w:type="dxa"/>
          </w:tcPr>
          <w:p w:rsidR="00BA6265" w:rsidRPr="005A4259" w:rsidRDefault="00BA6265" w:rsidP="005A4259">
            <w:pPr>
              <w:rPr>
                <w:sz w:val="20"/>
                <w:szCs w:val="20"/>
              </w:rPr>
            </w:pPr>
            <w:r w:rsidRPr="005A4259">
              <w:rPr>
                <w:sz w:val="20"/>
                <w:szCs w:val="20"/>
              </w:rPr>
              <w:t>Dry Perforation</w:t>
            </w:r>
          </w:p>
        </w:tc>
        <w:tc>
          <w:tcPr>
            <w:tcW w:w="1848" w:type="dxa"/>
            <w:vAlign w:val="center"/>
          </w:tcPr>
          <w:p w:rsidR="00BA6265" w:rsidRPr="005A4259" w:rsidRDefault="00BA6265" w:rsidP="00AF1DEC">
            <w:pPr>
              <w:jc w:val="center"/>
              <w:rPr>
                <w:sz w:val="20"/>
                <w:szCs w:val="20"/>
              </w:rPr>
            </w:pPr>
            <w:r w:rsidRPr="005A4259">
              <w:rPr>
                <w:sz w:val="20"/>
                <w:szCs w:val="20"/>
              </w:rPr>
              <w:t>0</w:t>
            </w:r>
          </w:p>
        </w:tc>
        <w:tc>
          <w:tcPr>
            <w:tcW w:w="1848" w:type="dxa"/>
            <w:vAlign w:val="center"/>
          </w:tcPr>
          <w:p w:rsidR="00BA6265" w:rsidRPr="005A4259" w:rsidRDefault="00BA6265" w:rsidP="00AF1DEC">
            <w:pPr>
              <w:jc w:val="center"/>
              <w:rPr>
                <w:sz w:val="20"/>
                <w:szCs w:val="20"/>
              </w:rPr>
            </w:pPr>
            <w:r w:rsidRPr="005A4259">
              <w:rPr>
                <w:sz w:val="20"/>
                <w:szCs w:val="20"/>
              </w:rPr>
              <w:t xml:space="preserve">2% </w:t>
            </w:r>
          </w:p>
        </w:tc>
        <w:tc>
          <w:tcPr>
            <w:tcW w:w="1849" w:type="dxa"/>
            <w:vAlign w:val="center"/>
          </w:tcPr>
          <w:p w:rsidR="00BA6265" w:rsidRPr="005A4259" w:rsidRDefault="00BA6265" w:rsidP="00AF1DEC">
            <w:pPr>
              <w:jc w:val="center"/>
              <w:rPr>
                <w:sz w:val="20"/>
                <w:szCs w:val="20"/>
              </w:rPr>
            </w:pPr>
            <w:r w:rsidRPr="005A4259">
              <w:rPr>
                <w:sz w:val="20"/>
                <w:szCs w:val="20"/>
              </w:rPr>
              <w:t xml:space="preserve">2% </w:t>
            </w:r>
          </w:p>
        </w:tc>
        <w:tc>
          <w:tcPr>
            <w:tcW w:w="1259" w:type="dxa"/>
          </w:tcPr>
          <w:p w:rsidR="00BA6265" w:rsidRPr="005A4259" w:rsidRDefault="00BA6265" w:rsidP="00AF1DEC">
            <w:pPr>
              <w:jc w:val="center"/>
              <w:rPr>
                <w:sz w:val="20"/>
                <w:szCs w:val="20"/>
              </w:rPr>
            </w:pPr>
          </w:p>
        </w:tc>
      </w:tr>
      <w:tr w:rsidR="00BA6265" w:rsidTr="005A4259">
        <w:trPr>
          <w:jc w:val="center"/>
        </w:trPr>
        <w:tc>
          <w:tcPr>
            <w:tcW w:w="2382" w:type="dxa"/>
          </w:tcPr>
          <w:p w:rsidR="00BA6265" w:rsidRPr="005A4259" w:rsidRDefault="00BA6265" w:rsidP="005A4259">
            <w:pPr>
              <w:rPr>
                <w:sz w:val="20"/>
                <w:szCs w:val="20"/>
              </w:rPr>
            </w:pPr>
            <w:r w:rsidRPr="005A4259">
              <w:rPr>
                <w:sz w:val="20"/>
                <w:szCs w:val="20"/>
              </w:rPr>
              <w:t>CSOM</w:t>
            </w:r>
          </w:p>
        </w:tc>
        <w:tc>
          <w:tcPr>
            <w:tcW w:w="1848" w:type="dxa"/>
            <w:vAlign w:val="center"/>
          </w:tcPr>
          <w:p w:rsidR="00BA6265" w:rsidRPr="005A4259" w:rsidRDefault="00BA6265" w:rsidP="00AF1DEC">
            <w:pPr>
              <w:jc w:val="center"/>
              <w:rPr>
                <w:sz w:val="20"/>
                <w:szCs w:val="20"/>
              </w:rPr>
            </w:pPr>
            <w:r w:rsidRPr="005A4259">
              <w:rPr>
                <w:sz w:val="20"/>
                <w:szCs w:val="20"/>
              </w:rPr>
              <w:t xml:space="preserve">15% </w:t>
            </w:r>
          </w:p>
        </w:tc>
        <w:tc>
          <w:tcPr>
            <w:tcW w:w="1848" w:type="dxa"/>
            <w:vAlign w:val="center"/>
          </w:tcPr>
          <w:p w:rsidR="00BA6265" w:rsidRPr="005A4259" w:rsidRDefault="00BA6265" w:rsidP="00AF1DEC">
            <w:pPr>
              <w:jc w:val="center"/>
              <w:rPr>
                <w:sz w:val="20"/>
                <w:szCs w:val="20"/>
              </w:rPr>
            </w:pPr>
            <w:r w:rsidRPr="005A4259">
              <w:rPr>
                <w:sz w:val="20"/>
                <w:szCs w:val="20"/>
              </w:rPr>
              <w:t xml:space="preserve">12% </w:t>
            </w:r>
          </w:p>
        </w:tc>
        <w:tc>
          <w:tcPr>
            <w:tcW w:w="1849" w:type="dxa"/>
            <w:vAlign w:val="center"/>
          </w:tcPr>
          <w:p w:rsidR="00BA6265" w:rsidRPr="005A4259" w:rsidRDefault="00BA6265" w:rsidP="00AF1DEC">
            <w:pPr>
              <w:jc w:val="center"/>
              <w:rPr>
                <w:sz w:val="20"/>
                <w:szCs w:val="20"/>
              </w:rPr>
            </w:pPr>
            <w:r w:rsidRPr="005A4259">
              <w:rPr>
                <w:sz w:val="20"/>
                <w:szCs w:val="20"/>
              </w:rPr>
              <w:t xml:space="preserve">10% </w:t>
            </w:r>
          </w:p>
        </w:tc>
        <w:tc>
          <w:tcPr>
            <w:tcW w:w="1259" w:type="dxa"/>
          </w:tcPr>
          <w:p w:rsidR="00BA6265" w:rsidRPr="005A4259" w:rsidRDefault="00BA6265" w:rsidP="00AF1DEC">
            <w:pPr>
              <w:jc w:val="center"/>
              <w:rPr>
                <w:sz w:val="20"/>
                <w:szCs w:val="20"/>
              </w:rPr>
            </w:pPr>
            <w:r w:rsidRPr="005A4259">
              <w:rPr>
                <w:sz w:val="20"/>
                <w:szCs w:val="20"/>
              </w:rPr>
              <w:t>p=0.387</w:t>
            </w:r>
          </w:p>
        </w:tc>
      </w:tr>
      <w:tr w:rsidR="00BA6265" w:rsidTr="005A4259">
        <w:trPr>
          <w:jc w:val="center"/>
        </w:trPr>
        <w:tc>
          <w:tcPr>
            <w:tcW w:w="2382" w:type="dxa"/>
            <w:tcBorders>
              <w:bottom w:val="single" w:sz="12" w:space="0" w:color="auto"/>
            </w:tcBorders>
          </w:tcPr>
          <w:p w:rsidR="00BA6265" w:rsidRPr="005A4259" w:rsidRDefault="00BA6265" w:rsidP="005A4259">
            <w:pPr>
              <w:rPr>
                <w:sz w:val="20"/>
                <w:szCs w:val="20"/>
              </w:rPr>
            </w:pPr>
            <w:r w:rsidRPr="005A4259">
              <w:rPr>
                <w:sz w:val="20"/>
                <w:szCs w:val="20"/>
              </w:rPr>
              <w:t>No. children with TMP</w:t>
            </w:r>
          </w:p>
        </w:tc>
        <w:tc>
          <w:tcPr>
            <w:tcW w:w="1848" w:type="dxa"/>
            <w:tcBorders>
              <w:bottom w:val="single" w:sz="12" w:space="0" w:color="auto"/>
            </w:tcBorders>
            <w:vAlign w:val="center"/>
          </w:tcPr>
          <w:p w:rsidR="00BA6265" w:rsidRPr="005A4259" w:rsidRDefault="00BA6265" w:rsidP="00AF1DEC">
            <w:pPr>
              <w:jc w:val="center"/>
              <w:rPr>
                <w:sz w:val="20"/>
                <w:szCs w:val="20"/>
              </w:rPr>
            </w:pPr>
            <w:r w:rsidRPr="005A4259">
              <w:rPr>
                <w:sz w:val="20"/>
                <w:szCs w:val="20"/>
              </w:rPr>
              <w:t>N=15</w:t>
            </w:r>
          </w:p>
        </w:tc>
        <w:tc>
          <w:tcPr>
            <w:tcW w:w="1848" w:type="dxa"/>
            <w:tcBorders>
              <w:bottom w:val="single" w:sz="12" w:space="0" w:color="auto"/>
            </w:tcBorders>
            <w:vAlign w:val="center"/>
          </w:tcPr>
          <w:p w:rsidR="00BA6265" w:rsidRPr="005A4259" w:rsidRDefault="00BA6265" w:rsidP="00AF1DEC">
            <w:pPr>
              <w:jc w:val="center"/>
              <w:rPr>
                <w:sz w:val="20"/>
                <w:szCs w:val="20"/>
              </w:rPr>
            </w:pPr>
            <w:r w:rsidRPr="005A4259">
              <w:rPr>
                <w:sz w:val="20"/>
                <w:szCs w:val="20"/>
              </w:rPr>
              <w:t>N=37</w:t>
            </w:r>
          </w:p>
        </w:tc>
        <w:tc>
          <w:tcPr>
            <w:tcW w:w="1849" w:type="dxa"/>
            <w:tcBorders>
              <w:bottom w:val="single" w:sz="12" w:space="0" w:color="auto"/>
            </w:tcBorders>
            <w:vAlign w:val="center"/>
          </w:tcPr>
          <w:p w:rsidR="00BA6265" w:rsidRPr="005A4259" w:rsidRDefault="00BA6265" w:rsidP="00AF1DEC">
            <w:pPr>
              <w:jc w:val="center"/>
              <w:rPr>
                <w:sz w:val="20"/>
                <w:szCs w:val="20"/>
              </w:rPr>
            </w:pPr>
            <w:r w:rsidRPr="005A4259">
              <w:rPr>
                <w:sz w:val="20"/>
                <w:szCs w:val="20"/>
              </w:rPr>
              <w:t>N=43</w:t>
            </w:r>
          </w:p>
        </w:tc>
        <w:tc>
          <w:tcPr>
            <w:tcW w:w="1259" w:type="dxa"/>
            <w:tcBorders>
              <w:bottom w:val="single" w:sz="12" w:space="0" w:color="auto"/>
            </w:tcBorders>
          </w:tcPr>
          <w:p w:rsidR="00BA6265" w:rsidRPr="005A4259" w:rsidRDefault="00BA6265" w:rsidP="00AF1DEC">
            <w:pPr>
              <w:jc w:val="center"/>
              <w:rPr>
                <w:sz w:val="20"/>
                <w:szCs w:val="20"/>
              </w:rPr>
            </w:pPr>
            <w:r>
              <w:rPr>
                <w:sz w:val="20"/>
                <w:szCs w:val="20"/>
              </w:rPr>
              <w:t>N=95</w:t>
            </w:r>
          </w:p>
        </w:tc>
      </w:tr>
      <w:tr w:rsidR="00BA6265" w:rsidRPr="000678F2" w:rsidTr="005A4259">
        <w:trPr>
          <w:trHeight w:val="225"/>
          <w:jc w:val="center"/>
        </w:trPr>
        <w:tc>
          <w:tcPr>
            <w:tcW w:w="2382" w:type="dxa"/>
            <w:tcBorders>
              <w:top w:val="single" w:sz="12" w:space="0" w:color="auto"/>
              <w:bottom w:val="single" w:sz="2" w:space="0" w:color="auto"/>
            </w:tcBorders>
          </w:tcPr>
          <w:p w:rsidR="00BA6265" w:rsidRPr="005A4259" w:rsidRDefault="00BA6265" w:rsidP="005A4259">
            <w:pPr>
              <w:rPr>
                <w:b/>
                <w:sz w:val="20"/>
                <w:szCs w:val="20"/>
              </w:rPr>
            </w:pPr>
            <w:r w:rsidRPr="005A4259">
              <w:rPr>
                <w:b/>
                <w:sz w:val="20"/>
                <w:szCs w:val="20"/>
              </w:rPr>
              <w:t>Other health measures</w:t>
            </w:r>
          </w:p>
        </w:tc>
        <w:tc>
          <w:tcPr>
            <w:tcW w:w="1848" w:type="dxa"/>
            <w:tcBorders>
              <w:top w:val="single" w:sz="12" w:space="0" w:color="auto"/>
              <w:bottom w:val="single" w:sz="2" w:space="0" w:color="auto"/>
            </w:tcBorders>
            <w:vAlign w:val="center"/>
          </w:tcPr>
          <w:p w:rsidR="00BA6265" w:rsidRPr="005A4259" w:rsidRDefault="00BA6265" w:rsidP="00AF1DEC">
            <w:pPr>
              <w:jc w:val="center"/>
              <w:rPr>
                <w:b/>
                <w:sz w:val="20"/>
                <w:szCs w:val="20"/>
              </w:rPr>
            </w:pPr>
          </w:p>
        </w:tc>
        <w:tc>
          <w:tcPr>
            <w:tcW w:w="1848" w:type="dxa"/>
            <w:tcBorders>
              <w:top w:val="single" w:sz="12" w:space="0" w:color="auto"/>
              <w:bottom w:val="single" w:sz="2" w:space="0" w:color="auto"/>
            </w:tcBorders>
            <w:vAlign w:val="center"/>
          </w:tcPr>
          <w:p w:rsidR="00BA6265" w:rsidRPr="005A4259" w:rsidRDefault="00BA6265" w:rsidP="00AF1DEC">
            <w:pPr>
              <w:jc w:val="center"/>
              <w:rPr>
                <w:b/>
                <w:sz w:val="20"/>
                <w:szCs w:val="20"/>
              </w:rPr>
            </w:pPr>
          </w:p>
        </w:tc>
        <w:tc>
          <w:tcPr>
            <w:tcW w:w="1849" w:type="dxa"/>
            <w:tcBorders>
              <w:top w:val="single" w:sz="12" w:space="0" w:color="auto"/>
              <w:bottom w:val="single" w:sz="2" w:space="0" w:color="auto"/>
            </w:tcBorders>
            <w:vAlign w:val="center"/>
          </w:tcPr>
          <w:p w:rsidR="00BA6265" w:rsidRPr="005A4259" w:rsidRDefault="00BA6265" w:rsidP="00AF1DEC">
            <w:pPr>
              <w:jc w:val="center"/>
              <w:rPr>
                <w:b/>
                <w:sz w:val="20"/>
                <w:szCs w:val="20"/>
              </w:rPr>
            </w:pPr>
          </w:p>
        </w:tc>
        <w:tc>
          <w:tcPr>
            <w:tcW w:w="1259" w:type="dxa"/>
            <w:tcBorders>
              <w:top w:val="single" w:sz="12" w:space="0" w:color="auto"/>
              <w:bottom w:val="single" w:sz="2" w:space="0" w:color="auto"/>
            </w:tcBorders>
          </w:tcPr>
          <w:p w:rsidR="00BA6265" w:rsidRPr="005A4259" w:rsidRDefault="00BA6265" w:rsidP="00AF1DEC">
            <w:pPr>
              <w:jc w:val="center"/>
              <w:rPr>
                <w:b/>
                <w:sz w:val="20"/>
                <w:szCs w:val="20"/>
              </w:rPr>
            </w:pPr>
          </w:p>
        </w:tc>
      </w:tr>
      <w:tr w:rsidR="00BA6265" w:rsidRPr="000678F2" w:rsidTr="005A4259">
        <w:trPr>
          <w:trHeight w:val="255"/>
          <w:jc w:val="center"/>
        </w:trPr>
        <w:tc>
          <w:tcPr>
            <w:tcW w:w="2382" w:type="dxa"/>
            <w:tcBorders>
              <w:top w:val="single" w:sz="2" w:space="0" w:color="auto"/>
              <w:bottom w:val="single" w:sz="2" w:space="0" w:color="auto"/>
            </w:tcBorders>
          </w:tcPr>
          <w:p w:rsidR="00BA6265" w:rsidRPr="005A4259" w:rsidRDefault="00BA6265" w:rsidP="005A4259">
            <w:pPr>
              <w:rPr>
                <w:b/>
                <w:sz w:val="20"/>
                <w:szCs w:val="20"/>
              </w:rPr>
            </w:pPr>
            <w:r w:rsidRPr="005A4259">
              <w:rPr>
                <w:b/>
                <w:sz w:val="20"/>
                <w:szCs w:val="20"/>
              </w:rPr>
              <w:t>n</w:t>
            </w:r>
          </w:p>
        </w:tc>
        <w:tc>
          <w:tcPr>
            <w:tcW w:w="1848" w:type="dxa"/>
            <w:tcBorders>
              <w:top w:val="single" w:sz="2" w:space="0" w:color="auto"/>
              <w:bottom w:val="single" w:sz="2" w:space="0" w:color="auto"/>
            </w:tcBorders>
            <w:vAlign w:val="center"/>
          </w:tcPr>
          <w:p w:rsidR="00BA6265" w:rsidRPr="005A4259" w:rsidRDefault="00BA6265" w:rsidP="00AF1DEC">
            <w:pPr>
              <w:jc w:val="center"/>
              <w:rPr>
                <w:b/>
                <w:sz w:val="20"/>
                <w:szCs w:val="20"/>
              </w:rPr>
            </w:pPr>
            <w:r w:rsidRPr="005A4259">
              <w:rPr>
                <w:b/>
                <w:sz w:val="20"/>
                <w:szCs w:val="20"/>
              </w:rPr>
              <w:t>59</w:t>
            </w:r>
          </w:p>
        </w:tc>
        <w:tc>
          <w:tcPr>
            <w:tcW w:w="1848" w:type="dxa"/>
            <w:tcBorders>
              <w:top w:val="single" w:sz="2" w:space="0" w:color="auto"/>
              <w:bottom w:val="single" w:sz="2" w:space="0" w:color="auto"/>
            </w:tcBorders>
            <w:vAlign w:val="center"/>
          </w:tcPr>
          <w:p w:rsidR="00BA6265" w:rsidRPr="005A4259" w:rsidRDefault="00BA6265" w:rsidP="00AF1DEC">
            <w:pPr>
              <w:jc w:val="center"/>
              <w:rPr>
                <w:b/>
                <w:sz w:val="20"/>
                <w:szCs w:val="20"/>
              </w:rPr>
            </w:pPr>
            <w:r w:rsidRPr="005A4259">
              <w:rPr>
                <w:b/>
                <w:sz w:val="20"/>
                <w:szCs w:val="20"/>
              </w:rPr>
              <w:t>196</w:t>
            </w:r>
          </w:p>
        </w:tc>
        <w:tc>
          <w:tcPr>
            <w:tcW w:w="1849" w:type="dxa"/>
            <w:tcBorders>
              <w:top w:val="single" w:sz="2" w:space="0" w:color="auto"/>
              <w:bottom w:val="single" w:sz="2" w:space="0" w:color="auto"/>
            </w:tcBorders>
            <w:vAlign w:val="center"/>
          </w:tcPr>
          <w:p w:rsidR="00BA6265" w:rsidRPr="005A4259" w:rsidRDefault="00BA6265" w:rsidP="00AF1DEC">
            <w:pPr>
              <w:jc w:val="center"/>
              <w:rPr>
                <w:b/>
                <w:sz w:val="20"/>
                <w:szCs w:val="20"/>
              </w:rPr>
            </w:pPr>
            <w:r w:rsidRPr="005A4259">
              <w:rPr>
                <w:b/>
                <w:sz w:val="20"/>
                <w:szCs w:val="20"/>
              </w:rPr>
              <w:t>253</w:t>
            </w:r>
          </w:p>
        </w:tc>
        <w:tc>
          <w:tcPr>
            <w:tcW w:w="1259" w:type="dxa"/>
            <w:tcBorders>
              <w:top w:val="single" w:sz="2" w:space="0" w:color="auto"/>
              <w:bottom w:val="single" w:sz="2" w:space="0" w:color="auto"/>
            </w:tcBorders>
          </w:tcPr>
          <w:p w:rsidR="00BA6265" w:rsidRPr="005A4259" w:rsidRDefault="00BA6265" w:rsidP="00AF1DEC">
            <w:pPr>
              <w:jc w:val="center"/>
              <w:rPr>
                <w:b/>
                <w:sz w:val="20"/>
                <w:szCs w:val="20"/>
              </w:rPr>
            </w:pPr>
          </w:p>
        </w:tc>
      </w:tr>
      <w:tr w:rsidR="00BA6265" w:rsidRPr="00C3676E" w:rsidTr="005A4259">
        <w:trPr>
          <w:trHeight w:val="255"/>
          <w:jc w:val="center"/>
        </w:trPr>
        <w:tc>
          <w:tcPr>
            <w:tcW w:w="2382" w:type="dxa"/>
            <w:tcBorders>
              <w:top w:val="single" w:sz="2" w:space="0" w:color="auto"/>
              <w:bottom w:val="single" w:sz="2" w:space="0" w:color="auto"/>
            </w:tcBorders>
          </w:tcPr>
          <w:p w:rsidR="00BA6265" w:rsidRPr="005A4259" w:rsidRDefault="00BA6265" w:rsidP="005A4259">
            <w:pPr>
              <w:rPr>
                <w:sz w:val="20"/>
                <w:szCs w:val="20"/>
              </w:rPr>
            </w:pPr>
            <w:r w:rsidRPr="005A4259">
              <w:rPr>
                <w:sz w:val="20"/>
                <w:szCs w:val="20"/>
              </w:rPr>
              <w:t>Any cough</w:t>
            </w:r>
          </w:p>
        </w:tc>
        <w:tc>
          <w:tcPr>
            <w:tcW w:w="1848" w:type="dxa"/>
            <w:tcBorders>
              <w:top w:val="single" w:sz="2" w:space="0" w:color="auto"/>
              <w:bottom w:val="single" w:sz="2" w:space="0" w:color="auto"/>
            </w:tcBorders>
            <w:vAlign w:val="center"/>
          </w:tcPr>
          <w:p w:rsidR="00BA6265" w:rsidRPr="005A4259" w:rsidRDefault="00BA6265" w:rsidP="00AF1DEC">
            <w:pPr>
              <w:jc w:val="center"/>
              <w:rPr>
                <w:sz w:val="20"/>
                <w:szCs w:val="20"/>
              </w:rPr>
            </w:pPr>
            <w:r w:rsidRPr="005A4259">
              <w:rPr>
                <w:sz w:val="20"/>
                <w:szCs w:val="20"/>
              </w:rPr>
              <w:t>18%</w:t>
            </w:r>
          </w:p>
        </w:tc>
        <w:tc>
          <w:tcPr>
            <w:tcW w:w="1848" w:type="dxa"/>
            <w:tcBorders>
              <w:top w:val="single" w:sz="2" w:space="0" w:color="auto"/>
              <w:bottom w:val="single" w:sz="2" w:space="0" w:color="auto"/>
            </w:tcBorders>
            <w:vAlign w:val="center"/>
          </w:tcPr>
          <w:p w:rsidR="00BA6265" w:rsidRPr="005A4259" w:rsidRDefault="00BA6265" w:rsidP="00AF1DEC">
            <w:pPr>
              <w:jc w:val="center"/>
              <w:rPr>
                <w:sz w:val="20"/>
                <w:szCs w:val="20"/>
              </w:rPr>
            </w:pPr>
            <w:r w:rsidRPr="005A4259">
              <w:rPr>
                <w:sz w:val="20"/>
                <w:szCs w:val="20"/>
              </w:rPr>
              <w:t>12%</w:t>
            </w:r>
          </w:p>
        </w:tc>
        <w:tc>
          <w:tcPr>
            <w:tcW w:w="1849" w:type="dxa"/>
            <w:tcBorders>
              <w:top w:val="single" w:sz="2" w:space="0" w:color="auto"/>
              <w:bottom w:val="single" w:sz="2" w:space="0" w:color="auto"/>
            </w:tcBorders>
            <w:vAlign w:val="center"/>
          </w:tcPr>
          <w:p w:rsidR="00BA6265" w:rsidRPr="005A4259" w:rsidRDefault="00BA6265" w:rsidP="00AF1DEC">
            <w:pPr>
              <w:jc w:val="center"/>
              <w:rPr>
                <w:sz w:val="20"/>
                <w:szCs w:val="20"/>
              </w:rPr>
            </w:pPr>
            <w:r w:rsidRPr="005A4259">
              <w:rPr>
                <w:sz w:val="20"/>
                <w:szCs w:val="20"/>
              </w:rPr>
              <w:t>22%</w:t>
            </w:r>
          </w:p>
        </w:tc>
        <w:tc>
          <w:tcPr>
            <w:tcW w:w="1259" w:type="dxa"/>
            <w:tcBorders>
              <w:top w:val="single" w:sz="2" w:space="0" w:color="auto"/>
              <w:bottom w:val="single" w:sz="2" w:space="0" w:color="auto"/>
            </w:tcBorders>
          </w:tcPr>
          <w:p w:rsidR="00BA6265" w:rsidRPr="005A4259" w:rsidRDefault="00BA6265" w:rsidP="00AF1DEC">
            <w:pPr>
              <w:jc w:val="center"/>
              <w:rPr>
                <w:sz w:val="20"/>
                <w:szCs w:val="20"/>
              </w:rPr>
            </w:pPr>
          </w:p>
        </w:tc>
      </w:tr>
      <w:tr w:rsidR="00BA6265" w:rsidRPr="00C3676E" w:rsidTr="005A4259">
        <w:trPr>
          <w:jc w:val="center"/>
        </w:trPr>
        <w:tc>
          <w:tcPr>
            <w:tcW w:w="2382" w:type="dxa"/>
            <w:tcBorders>
              <w:top w:val="single" w:sz="2" w:space="0" w:color="auto"/>
              <w:bottom w:val="single" w:sz="2" w:space="0" w:color="auto"/>
            </w:tcBorders>
          </w:tcPr>
          <w:p w:rsidR="00BA6265" w:rsidRPr="005A4259" w:rsidRDefault="00BA6265" w:rsidP="005A4259">
            <w:pPr>
              <w:rPr>
                <w:sz w:val="20"/>
                <w:szCs w:val="20"/>
              </w:rPr>
            </w:pPr>
            <w:r w:rsidRPr="005A4259">
              <w:rPr>
                <w:sz w:val="20"/>
                <w:szCs w:val="20"/>
              </w:rPr>
              <w:t>Runny nose</w:t>
            </w:r>
          </w:p>
        </w:tc>
        <w:tc>
          <w:tcPr>
            <w:tcW w:w="1848" w:type="dxa"/>
            <w:tcBorders>
              <w:top w:val="single" w:sz="2" w:space="0" w:color="auto"/>
              <w:bottom w:val="single" w:sz="2" w:space="0" w:color="auto"/>
            </w:tcBorders>
            <w:vAlign w:val="center"/>
          </w:tcPr>
          <w:p w:rsidR="00BA6265" w:rsidRPr="005A4259" w:rsidRDefault="00BA6265" w:rsidP="00AF1DEC">
            <w:pPr>
              <w:jc w:val="center"/>
              <w:rPr>
                <w:sz w:val="20"/>
                <w:szCs w:val="20"/>
              </w:rPr>
            </w:pPr>
            <w:r w:rsidRPr="005A4259">
              <w:rPr>
                <w:sz w:val="20"/>
                <w:szCs w:val="20"/>
              </w:rPr>
              <w:t>39%</w:t>
            </w:r>
          </w:p>
        </w:tc>
        <w:tc>
          <w:tcPr>
            <w:tcW w:w="1848" w:type="dxa"/>
            <w:tcBorders>
              <w:top w:val="single" w:sz="2" w:space="0" w:color="auto"/>
              <w:bottom w:val="single" w:sz="2" w:space="0" w:color="auto"/>
            </w:tcBorders>
            <w:vAlign w:val="center"/>
          </w:tcPr>
          <w:p w:rsidR="00BA6265" w:rsidRPr="005A4259" w:rsidRDefault="00BA6265" w:rsidP="00AF1DEC">
            <w:pPr>
              <w:jc w:val="center"/>
              <w:rPr>
                <w:sz w:val="20"/>
                <w:szCs w:val="20"/>
              </w:rPr>
            </w:pPr>
            <w:r w:rsidRPr="005A4259">
              <w:rPr>
                <w:sz w:val="20"/>
                <w:szCs w:val="20"/>
              </w:rPr>
              <w:t>20%</w:t>
            </w:r>
          </w:p>
        </w:tc>
        <w:tc>
          <w:tcPr>
            <w:tcW w:w="1849" w:type="dxa"/>
            <w:tcBorders>
              <w:top w:val="single" w:sz="2" w:space="0" w:color="auto"/>
              <w:bottom w:val="single" w:sz="2" w:space="0" w:color="auto"/>
            </w:tcBorders>
            <w:vAlign w:val="center"/>
          </w:tcPr>
          <w:p w:rsidR="00BA6265" w:rsidRPr="005A4259" w:rsidRDefault="00BA6265" w:rsidP="00AF1DEC">
            <w:pPr>
              <w:jc w:val="center"/>
              <w:rPr>
                <w:sz w:val="20"/>
                <w:szCs w:val="20"/>
              </w:rPr>
            </w:pPr>
            <w:r w:rsidRPr="005A4259">
              <w:rPr>
                <w:sz w:val="20"/>
                <w:szCs w:val="20"/>
              </w:rPr>
              <w:t>39%</w:t>
            </w:r>
          </w:p>
        </w:tc>
        <w:tc>
          <w:tcPr>
            <w:tcW w:w="1259" w:type="dxa"/>
            <w:tcBorders>
              <w:top w:val="single" w:sz="2" w:space="0" w:color="auto"/>
              <w:bottom w:val="single" w:sz="2" w:space="0" w:color="auto"/>
            </w:tcBorders>
          </w:tcPr>
          <w:p w:rsidR="00BA6265" w:rsidRPr="005A4259" w:rsidRDefault="00BA6265" w:rsidP="00AF1DEC">
            <w:pPr>
              <w:jc w:val="center"/>
              <w:rPr>
                <w:sz w:val="20"/>
                <w:szCs w:val="20"/>
              </w:rPr>
            </w:pPr>
          </w:p>
        </w:tc>
      </w:tr>
      <w:tr w:rsidR="00BA6265" w:rsidRPr="00C3676E" w:rsidTr="005A4259">
        <w:trPr>
          <w:jc w:val="center"/>
        </w:trPr>
        <w:tc>
          <w:tcPr>
            <w:tcW w:w="2382" w:type="dxa"/>
            <w:tcBorders>
              <w:top w:val="single" w:sz="2" w:space="0" w:color="auto"/>
              <w:bottom w:val="single" w:sz="2" w:space="0" w:color="auto"/>
            </w:tcBorders>
          </w:tcPr>
          <w:p w:rsidR="00BA6265" w:rsidRPr="005A4259" w:rsidRDefault="00BA6265" w:rsidP="005A4259">
            <w:pPr>
              <w:rPr>
                <w:sz w:val="20"/>
                <w:szCs w:val="20"/>
              </w:rPr>
            </w:pPr>
            <w:r w:rsidRPr="005A4259">
              <w:rPr>
                <w:sz w:val="20"/>
                <w:szCs w:val="20"/>
              </w:rPr>
              <w:t>Any skin condition</w:t>
            </w:r>
          </w:p>
        </w:tc>
        <w:tc>
          <w:tcPr>
            <w:tcW w:w="1848" w:type="dxa"/>
            <w:tcBorders>
              <w:top w:val="single" w:sz="2" w:space="0" w:color="auto"/>
              <w:bottom w:val="single" w:sz="2" w:space="0" w:color="auto"/>
            </w:tcBorders>
            <w:vAlign w:val="center"/>
          </w:tcPr>
          <w:p w:rsidR="00BA6265" w:rsidRPr="005A4259" w:rsidRDefault="00BA6265" w:rsidP="00AF1DEC">
            <w:pPr>
              <w:jc w:val="center"/>
              <w:rPr>
                <w:sz w:val="20"/>
                <w:szCs w:val="20"/>
              </w:rPr>
            </w:pPr>
            <w:r w:rsidRPr="005A4259">
              <w:rPr>
                <w:sz w:val="20"/>
                <w:szCs w:val="20"/>
              </w:rPr>
              <w:t>12%</w:t>
            </w:r>
          </w:p>
        </w:tc>
        <w:tc>
          <w:tcPr>
            <w:tcW w:w="1848" w:type="dxa"/>
            <w:tcBorders>
              <w:top w:val="single" w:sz="2" w:space="0" w:color="auto"/>
              <w:bottom w:val="single" w:sz="2" w:space="0" w:color="auto"/>
            </w:tcBorders>
            <w:vAlign w:val="center"/>
          </w:tcPr>
          <w:p w:rsidR="00BA6265" w:rsidRPr="005A4259" w:rsidRDefault="00BA6265" w:rsidP="00AF1DEC">
            <w:pPr>
              <w:jc w:val="center"/>
              <w:rPr>
                <w:sz w:val="20"/>
                <w:szCs w:val="20"/>
              </w:rPr>
            </w:pPr>
            <w:r w:rsidRPr="005A4259">
              <w:rPr>
                <w:sz w:val="20"/>
                <w:szCs w:val="20"/>
              </w:rPr>
              <w:t>19%</w:t>
            </w:r>
          </w:p>
        </w:tc>
        <w:tc>
          <w:tcPr>
            <w:tcW w:w="1849" w:type="dxa"/>
            <w:tcBorders>
              <w:top w:val="single" w:sz="2" w:space="0" w:color="auto"/>
              <w:bottom w:val="single" w:sz="2" w:space="0" w:color="auto"/>
            </w:tcBorders>
            <w:vAlign w:val="center"/>
          </w:tcPr>
          <w:p w:rsidR="00BA6265" w:rsidRPr="005A4259" w:rsidRDefault="00BA6265" w:rsidP="00AF1DEC">
            <w:pPr>
              <w:jc w:val="center"/>
              <w:rPr>
                <w:sz w:val="20"/>
                <w:szCs w:val="20"/>
              </w:rPr>
            </w:pPr>
            <w:r w:rsidRPr="005A4259">
              <w:rPr>
                <w:sz w:val="20"/>
                <w:szCs w:val="20"/>
              </w:rPr>
              <w:t>19%</w:t>
            </w:r>
          </w:p>
        </w:tc>
        <w:tc>
          <w:tcPr>
            <w:tcW w:w="1259" w:type="dxa"/>
            <w:tcBorders>
              <w:top w:val="single" w:sz="2" w:space="0" w:color="auto"/>
              <w:bottom w:val="single" w:sz="2" w:space="0" w:color="auto"/>
            </w:tcBorders>
          </w:tcPr>
          <w:p w:rsidR="00BA6265" w:rsidRPr="005A4259" w:rsidRDefault="00BA6265" w:rsidP="00AF1DEC">
            <w:pPr>
              <w:jc w:val="center"/>
              <w:rPr>
                <w:sz w:val="20"/>
                <w:szCs w:val="20"/>
              </w:rPr>
            </w:pPr>
          </w:p>
        </w:tc>
      </w:tr>
      <w:tr w:rsidR="00BA6265" w:rsidRPr="000678F2" w:rsidTr="005A4259">
        <w:trPr>
          <w:jc w:val="center"/>
        </w:trPr>
        <w:tc>
          <w:tcPr>
            <w:tcW w:w="2382" w:type="dxa"/>
            <w:tcBorders>
              <w:top w:val="single" w:sz="12" w:space="0" w:color="auto"/>
            </w:tcBorders>
          </w:tcPr>
          <w:p w:rsidR="00BA6265" w:rsidRPr="005A4259" w:rsidRDefault="00BA6265" w:rsidP="005A4259">
            <w:pPr>
              <w:rPr>
                <w:b/>
                <w:sz w:val="20"/>
                <w:szCs w:val="20"/>
              </w:rPr>
            </w:pPr>
            <w:r w:rsidRPr="005A4259">
              <w:rPr>
                <w:b/>
                <w:sz w:val="20"/>
                <w:szCs w:val="20"/>
              </w:rPr>
              <w:t xml:space="preserve">Risk factors </w:t>
            </w:r>
          </w:p>
        </w:tc>
        <w:tc>
          <w:tcPr>
            <w:tcW w:w="1848" w:type="dxa"/>
            <w:tcBorders>
              <w:top w:val="single" w:sz="12" w:space="0" w:color="auto"/>
            </w:tcBorders>
            <w:vAlign w:val="center"/>
          </w:tcPr>
          <w:p w:rsidR="00BA6265" w:rsidRPr="005A4259" w:rsidRDefault="00BA6265" w:rsidP="00AF1DEC">
            <w:pPr>
              <w:jc w:val="center"/>
              <w:rPr>
                <w:b/>
                <w:sz w:val="20"/>
                <w:szCs w:val="20"/>
              </w:rPr>
            </w:pPr>
          </w:p>
        </w:tc>
        <w:tc>
          <w:tcPr>
            <w:tcW w:w="1848" w:type="dxa"/>
            <w:tcBorders>
              <w:top w:val="single" w:sz="12" w:space="0" w:color="auto"/>
            </w:tcBorders>
            <w:vAlign w:val="center"/>
          </w:tcPr>
          <w:p w:rsidR="00BA6265" w:rsidRPr="005A4259" w:rsidRDefault="00BA6265" w:rsidP="00AF1DEC">
            <w:pPr>
              <w:jc w:val="center"/>
              <w:rPr>
                <w:b/>
                <w:sz w:val="20"/>
                <w:szCs w:val="20"/>
              </w:rPr>
            </w:pPr>
          </w:p>
        </w:tc>
        <w:tc>
          <w:tcPr>
            <w:tcW w:w="1849" w:type="dxa"/>
            <w:tcBorders>
              <w:top w:val="single" w:sz="12" w:space="0" w:color="auto"/>
            </w:tcBorders>
            <w:vAlign w:val="center"/>
          </w:tcPr>
          <w:p w:rsidR="00BA6265" w:rsidRPr="005A4259" w:rsidRDefault="00BA6265" w:rsidP="00AF1DEC">
            <w:pPr>
              <w:jc w:val="center"/>
              <w:rPr>
                <w:b/>
                <w:sz w:val="20"/>
                <w:szCs w:val="20"/>
              </w:rPr>
            </w:pPr>
          </w:p>
        </w:tc>
        <w:tc>
          <w:tcPr>
            <w:tcW w:w="1259" w:type="dxa"/>
            <w:tcBorders>
              <w:top w:val="single" w:sz="12" w:space="0" w:color="auto"/>
            </w:tcBorders>
          </w:tcPr>
          <w:p w:rsidR="00BA6265" w:rsidRPr="005A4259" w:rsidRDefault="00BA6265" w:rsidP="00AF1DEC">
            <w:pPr>
              <w:jc w:val="center"/>
              <w:rPr>
                <w:b/>
                <w:sz w:val="20"/>
                <w:szCs w:val="20"/>
              </w:rPr>
            </w:pPr>
          </w:p>
        </w:tc>
      </w:tr>
      <w:tr w:rsidR="00BA6265" w:rsidTr="005A4259">
        <w:trPr>
          <w:jc w:val="center"/>
        </w:trPr>
        <w:tc>
          <w:tcPr>
            <w:tcW w:w="2382" w:type="dxa"/>
            <w:vAlign w:val="center"/>
          </w:tcPr>
          <w:p w:rsidR="00BA6265" w:rsidRPr="005A4259" w:rsidRDefault="00BA6265" w:rsidP="005A4259">
            <w:pPr>
              <w:rPr>
                <w:sz w:val="20"/>
                <w:szCs w:val="20"/>
              </w:rPr>
            </w:pPr>
            <w:r w:rsidRPr="005A4259">
              <w:rPr>
                <w:sz w:val="20"/>
                <w:szCs w:val="20"/>
              </w:rPr>
              <w:t>n</w:t>
            </w:r>
          </w:p>
        </w:tc>
        <w:tc>
          <w:tcPr>
            <w:tcW w:w="1848" w:type="dxa"/>
            <w:vAlign w:val="center"/>
          </w:tcPr>
          <w:p w:rsidR="00BA6265" w:rsidRPr="005A4259" w:rsidRDefault="00BA6265" w:rsidP="00AF1DEC">
            <w:pPr>
              <w:jc w:val="center"/>
              <w:rPr>
                <w:sz w:val="20"/>
                <w:szCs w:val="20"/>
              </w:rPr>
            </w:pPr>
            <w:r w:rsidRPr="005A4259">
              <w:rPr>
                <w:sz w:val="20"/>
                <w:szCs w:val="20"/>
              </w:rPr>
              <w:t>~63</w:t>
            </w:r>
          </w:p>
        </w:tc>
        <w:tc>
          <w:tcPr>
            <w:tcW w:w="1848" w:type="dxa"/>
            <w:vAlign w:val="center"/>
          </w:tcPr>
          <w:p w:rsidR="00BA6265" w:rsidRPr="005A4259" w:rsidRDefault="00BA6265" w:rsidP="00AF1DEC">
            <w:pPr>
              <w:jc w:val="center"/>
              <w:rPr>
                <w:sz w:val="20"/>
                <w:szCs w:val="20"/>
              </w:rPr>
            </w:pPr>
            <w:r w:rsidRPr="005A4259">
              <w:rPr>
                <w:sz w:val="20"/>
                <w:szCs w:val="20"/>
              </w:rPr>
              <w:t>~195</w:t>
            </w:r>
          </w:p>
        </w:tc>
        <w:tc>
          <w:tcPr>
            <w:tcW w:w="1849" w:type="dxa"/>
            <w:vAlign w:val="center"/>
          </w:tcPr>
          <w:p w:rsidR="00BA6265" w:rsidRPr="005A4259" w:rsidRDefault="00BA6265" w:rsidP="00AF1DEC">
            <w:pPr>
              <w:jc w:val="center"/>
              <w:rPr>
                <w:sz w:val="20"/>
                <w:szCs w:val="20"/>
              </w:rPr>
            </w:pPr>
            <w:r w:rsidRPr="005A4259">
              <w:rPr>
                <w:sz w:val="20"/>
                <w:szCs w:val="20"/>
              </w:rPr>
              <w:t>~250</w:t>
            </w:r>
          </w:p>
        </w:tc>
        <w:tc>
          <w:tcPr>
            <w:tcW w:w="1259" w:type="dxa"/>
          </w:tcPr>
          <w:p w:rsidR="00BA6265" w:rsidRPr="005A4259" w:rsidRDefault="00BA6265" w:rsidP="00AF1DEC">
            <w:pPr>
              <w:jc w:val="center"/>
              <w:rPr>
                <w:sz w:val="20"/>
                <w:szCs w:val="20"/>
              </w:rPr>
            </w:pPr>
          </w:p>
        </w:tc>
      </w:tr>
      <w:tr w:rsidR="00BA6265" w:rsidTr="005A4259">
        <w:trPr>
          <w:jc w:val="center"/>
        </w:trPr>
        <w:tc>
          <w:tcPr>
            <w:tcW w:w="2382" w:type="dxa"/>
          </w:tcPr>
          <w:p w:rsidR="00BA6265" w:rsidRPr="005A4259" w:rsidRDefault="00BA6265" w:rsidP="005A4259">
            <w:pPr>
              <w:rPr>
                <w:sz w:val="20"/>
                <w:szCs w:val="20"/>
              </w:rPr>
            </w:pPr>
            <w:r w:rsidRPr="005A4259">
              <w:rPr>
                <w:sz w:val="20"/>
                <w:szCs w:val="20"/>
              </w:rPr>
              <w:t>People per house</w:t>
            </w:r>
          </w:p>
        </w:tc>
        <w:tc>
          <w:tcPr>
            <w:tcW w:w="1848" w:type="dxa"/>
            <w:vAlign w:val="center"/>
          </w:tcPr>
          <w:p w:rsidR="00BA6265" w:rsidRPr="005A4259" w:rsidRDefault="00BA6265" w:rsidP="00AF1DEC">
            <w:pPr>
              <w:jc w:val="center"/>
              <w:rPr>
                <w:sz w:val="20"/>
                <w:szCs w:val="20"/>
              </w:rPr>
            </w:pPr>
            <w:r w:rsidRPr="005A4259">
              <w:rPr>
                <w:sz w:val="20"/>
                <w:szCs w:val="20"/>
              </w:rPr>
              <w:t>9.35</w:t>
            </w:r>
          </w:p>
        </w:tc>
        <w:tc>
          <w:tcPr>
            <w:tcW w:w="1848" w:type="dxa"/>
            <w:vAlign w:val="center"/>
          </w:tcPr>
          <w:p w:rsidR="00BA6265" w:rsidRPr="005A4259" w:rsidRDefault="00BA6265" w:rsidP="00AF1DEC">
            <w:pPr>
              <w:jc w:val="center"/>
              <w:rPr>
                <w:sz w:val="20"/>
                <w:szCs w:val="20"/>
              </w:rPr>
            </w:pPr>
            <w:r w:rsidRPr="005A4259">
              <w:rPr>
                <w:sz w:val="20"/>
                <w:szCs w:val="20"/>
              </w:rPr>
              <w:t>8.72</w:t>
            </w:r>
          </w:p>
        </w:tc>
        <w:tc>
          <w:tcPr>
            <w:tcW w:w="1849" w:type="dxa"/>
            <w:vAlign w:val="center"/>
          </w:tcPr>
          <w:p w:rsidR="00BA6265" w:rsidRPr="005A4259" w:rsidRDefault="00BA6265" w:rsidP="00AF1DEC">
            <w:pPr>
              <w:jc w:val="center"/>
              <w:rPr>
                <w:sz w:val="20"/>
                <w:szCs w:val="20"/>
              </w:rPr>
            </w:pPr>
            <w:r w:rsidRPr="005A4259">
              <w:rPr>
                <w:sz w:val="20"/>
                <w:szCs w:val="20"/>
              </w:rPr>
              <w:t>8.45</w:t>
            </w:r>
          </w:p>
        </w:tc>
        <w:tc>
          <w:tcPr>
            <w:tcW w:w="1259" w:type="dxa"/>
          </w:tcPr>
          <w:p w:rsidR="00BA6265" w:rsidRPr="005A4259" w:rsidRDefault="00BA6265" w:rsidP="00AF1DEC">
            <w:pPr>
              <w:jc w:val="center"/>
              <w:rPr>
                <w:sz w:val="20"/>
                <w:szCs w:val="20"/>
              </w:rPr>
            </w:pPr>
          </w:p>
        </w:tc>
      </w:tr>
      <w:tr w:rsidR="00BA6265" w:rsidTr="005A4259">
        <w:trPr>
          <w:jc w:val="center"/>
        </w:trPr>
        <w:tc>
          <w:tcPr>
            <w:tcW w:w="2382" w:type="dxa"/>
          </w:tcPr>
          <w:p w:rsidR="00BA6265" w:rsidRPr="005A4259" w:rsidRDefault="00BA6265" w:rsidP="005A4259">
            <w:pPr>
              <w:rPr>
                <w:sz w:val="20"/>
                <w:szCs w:val="20"/>
              </w:rPr>
            </w:pPr>
            <w:r w:rsidRPr="005A4259">
              <w:rPr>
                <w:sz w:val="20"/>
                <w:szCs w:val="20"/>
              </w:rPr>
              <w:t xml:space="preserve">Children &lt; 5 </w:t>
            </w:r>
            <w:proofErr w:type="spellStart"/>
            <w:r w:rsidRPr="005A4259">
              <w:rPr>
                <w:sz w:val="20"/>
                <w:szCs w:val="20"/>
              </w:rPr>
              <w:t>yo</w:t>
            </w:r>
            <w:proofErr w:type="spellEnd"/>
            <w:r w:rsidRPr="005A4259">
              <w:rPr>
                <w:sz w:val="20"/>
                <w:szCs w:val="20"/>
              </w:rPr>
              <w:t xml:space="preserve"> per house</w:t>
            </w:r>
          </w:p>
        </w:tc>
        <w:tc>
          <w:tcPr>
            <w:tcW w:w="1848" w:type="dxa"/>
            <w:vAlign w:val="center"/>
          </w:tcPr>
          <w:p w:rsidR="00BA6265" w:rsidRPr="005A4259" w:rsidRDefault="00BA6265" w:rsidP="00AF1DEC">
            <w:pPr>
              <w:jc w:val="center"/>
              <w:rPr>
                <w:sz w:val="20"/>
                <w:szCs w:val="20"/>
              </w:rPr>
            </w:pPr>
            <w:r w:rsidRPr="005A4259">
              <w:rPr>
                <w:sz w:val="20"/>
                <w:szCs w:val="20"/>
              </w:rPr>
              <w:t>2.63</w:t>
            </w:r>
          </w:p>
        </w:tc>
        <w:tc>
          <w:tcPr>
            <w:tcW w:w="1848" w:type="dxa"/>
            <w:vAlign w:val="center"/>
          </w:tcPr>
          <w:p w:rsidR="00BA6265" w:rsidRPr="005A4259" w:rsidRDefault="00BA6265" w:rsidP="00AF1DEC">
            <w:pPr>
              <w:jc w:val="center"/>
              <w:rPr>
                <w:sz w:val="20"/>
                <w:szCs w:val="20"/>
              </w:rPr>
            </w:pPr>
            <w:r w:rsidRPr="005A4259">
              <w:rPr>
                <w:sz w:val="20"/>
                <w:szCs w:val="20"/>
              </w:rPr>
              <w:t>2.47</w:t>
            </w:r>
          </w:p>
        </w:tc>
        <w:tc>
          <w:tcPr>
            <w:tcW w:w="1849" w:type="dxa"/>
            <w:vAlign w:val="center"/>
          </w:tcPr>
          <w:p w:rsidR="00BA6265" w:rsidRPr="005A4259" w:rsidRDefault="00BA6265" w:rsidP="00AF1DEC">
            <w:pPr>
              <w:jc w:val="center"/>
              <w:rPr>
                <w:sz w:val="20"/>
                <w:szCs w:val="20"/>
              </w:rPr>
            </w:pPr>
            <w:r w:rsidRPr="005A4259">
              <w:rPr>
                <w:sz w:val="20"/>
                <w:szCs w:val="20"/>
              </w:rPr>
              <w:t>2.20</w:t>
            </w:r>
          </w:p>
        </w:tc>
        <w:tc>
          <w:tcPr>
            <w:tcW w:w="1259" w:type="dxa"/>
          </w:tcPr>
          <w:p w:rsidR="00BA6265" w:rsidRPr="005A4259" w:rsidRDefault="00BA6265" w:rsidP="00AF1DEC">
            <w:pPr>
              <w:jc w:val="center"/>
              <w:rPr>
                <w:sz w:val="20"/>
                <w:szCs w:val="20"/>
              </w:rPr>
            </w:pPr>
          </w:p>
        </w:tc>
      </w:tr>
      <w:tr w:rsidR="00BA6265" w:rsidTr="005A4259">
        <w:trPr>
          <w:jc w:val="center"/>
        </w:trPr>
        <w:tc>
          <w:tcPr>
            <w:tcW w:w="2382" w:type="dxa"/>
          </w:tcPr>
          <w:p w:rsidR="00BA6265" w:rsidRPr="005A4259" w:rsidRDefault="00BA6265" w:rsidP="005A4259">
            <w:pPr>
              <w:rPr>
                <w:sz w:val="20"/>
                <w:szCs w:val="20"/>
              </w:rPr>
            </w:pPr>
            <w:r w:rsidRPr="005A4259">
              <w:rPr>
                <w:sz w:val="20"/>
                <w:szCs w:val="20"/>
              </w:rPr>
              <w:t>% with &gt;7 people</w:t>
            </w:r>
          </w:p>
        </w:tc>
        <w:tc>
          <w:tcPr>
            <w:tcW w:w="1848" w:type="dxa"/>
            <w:vAlign w:val="center"/>
          </w:tcPr>
          <w:p w:rsidR="00BA6265" w:rsidRPr="005A4259" w:rsidRDefault="00BA6265" w:rsidP="00AF1DEC">
            <w:pPr>
              <w:jc w:val="center"/>
              <w:rPr>
                <w:sz w:val="20"/>
                <w:szCs w:val="20"/>
              </w:rPr>
            </w:pPr>
            <w:r w:rsidRPr="005A4259">
              <w:rPr>
                <w:sz w:val="20"/>
                <w:szCs w:val="20"/>
              </w:rPr>
              <w:t>78%</w:t>
            </w:r>
          </w:p>
        </w:tc>
        <w:tc>
          <w:tcPr>
            <w:tcW w:w="1848" w:type="dxa"/>
            <w:vAlign w:val="center"/>
          </w:tcPr>
          <w:p w:rsidR="00BA6265" w:rsidRPr="005A4259" w:rsidRDefault="00BA6265" w:rsidP="00AF1DEC">
            <w:pPr>
              <w:jc w:val="center"/>
              <w:rPr>
                <w:sz w:val="20"/>
                <w:szCs w:val="20"/>
              </w:rPr>
            </w:pPr>
            <w:r w:rsidRPr="005A4259">
              <w:rPr>
                <w:sz w:val="20"/>
                <w:szCs w:val="20"/>
              </w:rPr>
              <w:t>66%</w:t>
            </w:r>
          </w:p>
        </w:tc>
        <w:tc>
          <w:tcPr>
            <w:tcW w:w="1849" w:type="dxa"/>
            <w:vAlign w:val="center"/>
          </w:tcPr>
          <w:p w:rsidR="00BA6265" w:rsidRPr="005A4259" w:rsidRDefault="00BA6265" w:rsidP="00AF1DEC">
            <w:pPr>
              <w:jc w:val="center"/>
              <w:rPr>
                <w:sz w:val="20"/>
                <w:szCs w:val="20"/>
              </w:rPr>
            </w:pPr>
            <w:r w:rsidRPr="005A4259">
              <w:rPr>
                <w:sz w:val="20"/>
                <w:szCs w:val="20"/>
              </w:rPr>
              <w:t>62%</w:t>
            </w:r>
          </w:p>
        </w:tc>
        <w:tc>
          <w:tcPr>
            <w:tcW w:w="1259" w:type="dxa"/>
          </w:tcPr>
          <w:p w:rsidR="00BA6265" w:rsidRPr="005A4259" w:rsidRDefault="00BA6265" w:rsidP="00AF1DEC">
            <w:pPr>
              <w:jc w:val="center"/>
              <w:rPr>
                <w:sz w:val="20"/>
                <w:szCs w:val="20"/>
              </w:rPr>
            </w:pPr>
            <w:r w:rsidRPr="005A4259">
              <w:rPr>
                <w:sz w:val="20"/>
                <w:szCs w:val="20"/>
              </w:rPr>
              <w:t>p=0.064</w:t>
            </w:r>
          </w:p>
        </w:tc>
      </w:tr>
      <w:tr w:rsidR="00BA6265" w:rsidTr="005A4259">
        <w:trPr>
          <w:jc w:val="center"/>
        </w:trPr>
        <w:tc>
          <w:tcPr>
            <w:tcW w:w="2382" w:type="dxa"/>
          </w:tcPr>
          <w:p w:rsidR="00BA6265" w:rsidRPr="005A4259" w:rsidRDefault="00BA6265" w:rsidP="005A4259">
            <w:pPr>
              <w:rPr>
                <w:sz w:val="20"/>
                <w:szCs w:val="20"/>
              </w:rPr>
            </w:pPr>
            <w:r w:rsidRPr="005A4259">
              <w:rPr>
                <w:sz w:val="20"/>
                <w:szCs w:val="20"/>
              </w:rPr>
              <w:t>Child care (any)</w:t>
            </w:r>
          </w:p>
        </w:tc>
        <w:tc>
          <w:tcPr>
            <w:tcW w:w="1848" w:type="dxa"/>
            <w:vAlign w:val="center"/>
          </w:tcPr>
          <w:p w:rsidR="00BA6265" w:rsidRPr="005A4259" w:rsidRDefault="00BA6265" w:rsidP="00AF1DEC">
            <w:pPr>
              <w:jc w:val="center"/>
              <w:rPr>
                <w:sz w:val="20"/>
                <w:szCs w:val="20"/>
              </w:rPr>
            </w:pPr>
            <w:r w:rsidRPr="005A4259">
              <w:rPr>
                <w:sz w:val="20"/>
                <w:szCs w:val="20"/>
              </w:rPr>
              <w:t>3%</w:t>
            </w:r>
          </w:p>
        </w:tc>
        <w:tc>
          <w:tcPr>
            <w:tcW w:w="1848" w:type="dxa"/>
            <w:vAlign w:val="center"/>
          </w:tcPr>
          <w:p w:rsidR="00BA6265" w:rsidRPr="005A4259" w:rsidRDefault="00BA6265" w:rsidP="00AF1DEC">
            <w:pPr>
              <w:jc w:val="center"/>
              <w:rPr>
                <w:sz w:val="20"/>
                <w:szCs w:val="20"/>
              </w:rPr>
            </w:pPr>
            <w:r w:rsidRPr="005A4259">
              <w:rPr>
                <w:sz w:val="20"/>
                <w:szCs w:val="20"/>
              </w:rPr>
              <w:t>10%</w:t>
            </w:r>
          </w:p>
        </w:tc>
        <w:tc>
          <w:tcPr>
            <w:tcW w:w="1849" w:type="dxa"/>
            <w:vAlign w:val="center"/>
          </w:tcPr>
          <w:p w:rsidR="00BA6265" w:rsidRPr="005A4259" w:rsidRDefault="00BA6265" w:rsidP="00AF1DEC">
            <w:pPr>
              <w:jc w:val="center"/>
              <w:rPr>
                <w:sz w:val="20"/>
                <w:szCs w:val="20"/>
              </w:rPr>
            </w:pPr>
            <w:r w:rsidRPr="005A4259">
              <w:rPr>
                <w:sz w:val="20"/>
                <w:szCs w:val="20"/>
              </w:rPr>
              <w:t>20%</w:t>
            </w:r>
          </w:p>
        </w:tc>
        <w:tc>
          <w:tcPr>
            <w:tcW w:w="1259" w:type="dxa"/>
          </w:tcPr>
          <w:p w:rsidR="00BA6265" w:rsidRPr="005A4259" w:rsidRDefault="00BA6265" w:rsidP="00AF1DEC">
            <w:pPr>
              <w:jc w:val="center"/>
              <w:rPr>
                <w:b/>
                <w:sz w:val="20"/>
                <w:szCs w:val="20"/>
              </w:rPr>
            </w:pPr>
            <w:r w:rsidRPr="005A4259">
              <w:rPr>
                <w:b/>
                <w:sz w:val="20"/>
                <w:szCs w:val="20"/>
              </w:rPr>
              <w:t>p&lt;0.001</w:t>
            </w:r>
          </w:p>
        </w:tc>
      </w:tr>
      <w:tr w:rsidR="00BA6265" w:rsidTr="005A4259">
        <w:trPr>
          <w:jc w:val="center"/>
        </w:trPr>
        <w:tc>
          <w:tcPr>
            <w:tcW w:w="2382" w:type="dxa"/>
          </w:tcPr>
          <w:p w:rsidR="00BA6265" w:rsidRPr="005A4259" w:rsidRDefault="00BA6265" w:rsidP="005A4259">
            <w:pPr>
              <w:rPr>
                <w:sz w:val="20"/>
                <w:szCs w:val="20"/>
              </w:rPr>
            </w:pPr>
            <w:r w:rsidRPr="005A4259">
              <w:rPr>
                <w:sz w:val="20"/>
                <w:szCs w:val="20"/>
              </w:rPr>
              <w:t>Cig smoke – mum</w:t>
            </w:r>
          </w:p>
        </w:tc>
        <w:tc>
          <w:tcPr>
            <w:tcW w:w="1848" w:type="dxa"/>
            <w:vAlign w:val="center"/>
          </w:tcPr>
          <w:p w:rsidR="00BA6265" w:rsidRPr="005A4259" w:rsidRDefault="00BA6265" w:rsidP="00AF1DEC">
            <w:pPr>
              <w:jc w:val="center"/>
              <w:rPr>
                <w:sz w:val="20"/>
                <w:szCs w:val="20"/>
              </w:rPr>
            </w:pPr>
            <w:r w:rsidRPr="005A4259">
              <w:rPr>
                <w:sz w:val="20"/>
                <w:szCs w:val="20"/>
              </w:rPr>
              <w:t>38%</w:t>
            </w:r>
          </w:p>
        </w:tc>
        <w:tc>
          <w:tcPr>
            <w:tcW w:w="1848" w:type="dxa"/>
            <w:vAlign w:val="center"/>
          </w:tcPr>
          <w:p w:rsidR="00BA6265" w:rsidRPr="005A4259" w:rsidRDefault="00BA6265" w:rsidP="00AF1DEC">
            <w:pPr>
              <w:jc w:val="center"/>
              <w:rPr>
                <w:sz w:val="20"/>
                <w:szCs w:val="20"/>
              </w:rPr>
            </w:pPr>
            <w:r w:rsidRPr="005A4259">
              <w:rPr>
                <w:sz w:val="20"/>
                <w:szCs w:val="20"/>
              </w:rPr>
              <w:t>61%</w:t>
            </w:r>
          </w:p>
        </w:tc>
        <w:tc>
          <w:tcPr>
            <w:tcW w:w="1849" w:type="dxa"/>
            <w:vAlign w:val="center"/>
          </w:tcPr>
          <w:p w:rsidR="00BA6265" w:rsidRPr="005A4259" w:rsidRDefault="00BA6265" w:rsidP="00AF1DEC">
            <w:pPr>
              <w:jc w:val="center"/>
              <w:rPr>
                <w:sz w:val="20"/>
                <w:szCs w:val="20"/>
              </w:rPr>
            </w:pPr>
            <w:r w:rsidRPr="005A4259">
              <w:rPr>
                <w:sz w:val="20"/>
                <w:szCs w:val="20"/>
              </w:rPr>
              <w:t>56%</w:t>
            </w:r>
          </w:p>
        </w:tc>
        <w:tc>
          <w:tcPr>
            <w:tcW w:w="1259" w:type="dxa"/>
          </w:tcPr>
          <w:p w:rsidR="00BA6265" w:rsidRPr="005A4259" w:rsidRDefault="00BA6265" w:rsidP="00AF1DEC">
            <w:pPr>
              <w:jc w:val="center"/>
              <w:rPr>
                <w:sz w:val="20"/>
                <w:szCs w:val="20"/>
              </w:rPr>
            </w:pPr>
            <w:r w:rsidRPr="005A4259">
              <w:rPr>
                <w:sz w:val="20"/>
                <w:szCs w:val="20"/>
              </w:rPr>
              <w:t>p=0.006</w:t>
            </w:r>
          </w:p>
        </w:tc>
      </w:tr>
      <w:tr w:rsidR="00BA6265" w:rsidTr="005A4259">
        <w:trPr>
          <w:jc w:val="center"/>
        </w:trPr>
        <w:tc>
          <w:tcPr>
            <w:tcW w:w="2382" w:type="dxa"/>
          </w:tcPr>
          <w:p w:rsidR="00BA6265" w:rsidRPr="005A4259" w:rsidRDefault="00BA6265" w:rsidP="005A4259">
            <w:pPr>
              <w:rPr>
                <w:sz w:val="20"/>
                <w:szCs w:val="20"/>
              </w:rPr>
            </w:pPr>
            <w:r w:rsidRPr="005A4259">
              <w:rPr>
                <w:sz w:val="20"/>
                <w:szCs w:val="20"/>
              </w:rPr>
              <w:t>Child near campfire</w:t>
            </w:r>
          </w:p>
        </w:tc>
        <w:tc>
          <w:tcPr>
            <w:tcW w:w="1848" w:type="dxa"/>
            <w:vAlign w:val="center"/>
          </w:tcPr>
          <w:p w:rsidR="00BA6265" w:rsidRPr="005A4259" w:rsidRDefault="00BA6265" w:rsidP="00AF1DEC">
            <w:pPr>
              <w:jc w:val="center"/>
              <w:rPr>
                <w:sz w:val="20"/>
                <w:szCs w:val="20"/>
              </w:rPr>
            </w:pPr>
            <w:r w:rsidRPr="005A4259">
              <w:rPr>
                <w:sz w:val="20"/>
                <w:szCs w:val="20"/>
              </w:rPr>
              <w:t>49%</w:t>
            </w:r>
          </w:p>
        </w:tc>
        <w:tc>
          <w:tcPr>
            <w:tcW w:w="1848" w:type="dxa"/>
            <w:vAlign w:val="center"/>
          </w:tcPr>
          <w:p w:rsidR="00BA6265" w:rsidRPr="005A4259" w:rsidRDefault="00BA6265" w:rsidP="00AF1DEC">
            <w:pPr>
              <w:jc w:val="center"/>
              <w:rPr>
                <w:sz w:val="20"/>
                <w:szCs w:val="20"/>
              </w:rPr>
            </w:pPr>
            <w:r w:rsidRPr="005A4259">
              <w:rPr>
                <w:sz w:val="20"/>
                <w:szCs w:val="20"/>
              </w:rPr>
              <w:t>27%</w:t>
            </w:r>
          </w:p>
        </w:tc>
        <w:tc>
          <w:tcPr>
            <w:tcW w:w="1849" w:type="dxa"/>
            <w:vAlign w:val="center"/>
          </w:tcPr>
          <w:p w:rsidR="00BA6265" w:rsidRPr="005A4259" w:rsidRDefault="00BA6265" w:rsidP="00AF1DEC">
            <w:pPr>
              <w:jc w:val="center"/>
              <w:rPr>
                <w:sz w:val="20"/>
                <w:szCs w:val="20"/>
              </w:rPr>
            </w:pPr>
            <w:r w:rsidRPr="005A4259">
              <w:rPr>
                <w:sz w:val="20"/>
                <w:szCs w:val="20"/>
              </w:rPr>
              <w:t>30%</w:t>
            </w:r>
          </w:p>
        </w:tc>
        <w:tc>
          <w:tcPr>
            <w:tcW w:w="1259" w:type="dxa"/>
          </w:tcPr>
          <w:p w:rsidR="00BA6265" w:rsidRPr="005A4259" w:rsidRDefault="00BA6265" w:rsidP="00AF1DEC">
            <w:pPr>
              <w:jc w:val="center"/>
              <w:rPr>
                <w:b/>
                <w:sz w:val="20"/>
                <w:szCs w:val="20"/>
              </w:rPr>
            </w:pPr>
            <w:r w:rsidRPr="005A4259">
              <w:rPr>
                <w:b/>
                <w:sz w:val="20"/>
                <w:szCs w:val="20"/>
              </w:rPr>
              <w:t>p=0.003</w:t>
            </w:r>
          </w:p>
        </w:tc>
      </w:tr>
      <w:tr w:rsidR="00BA6265" w:rsidTr="005A4259">
        <w:trPr>
          <w:jc w:val="center"/>
        </w:trPr>
        <w:tc>
          <w:tcPr>
            <w:tcW w:w="2382" w:type="dxa"/>
          </w:tcPr>
          <w:p w:rsidR="00BA6265" w:rsidRPr="005A4259" w:rsidRDefault="00BA6265" w:rsidP="005A4259">
            <w:pPr>
              <w:rPr>
                <w:sz w:val="20"/>
                <w:szCs w:val="20"/>
              </w:rPr>
            </w:pPr>
            <w:r w:rsidRPr="005A4259">
              <w:rPr>
                <w:sz w:val="20"/>
                <w:szCs w:val="20"/>
              </w:rPr>
              <w:t>Mum education</w:t>
            </w:r>
          </w:p>
        </w:tc>
        <w:tc>
          <w:tcPr>
            <w:tcW w:w="1848" w:type="dxa"/>
            <w:vAlign w:val="center"/>
          </w:tcPr>
          <w:p w:rsidR="00BA6265" w:rsidRPr="005A4259" w:rsidRDefault="00BA6265" w:rsidP="00AF1DEC">
            <w:pPr>
              <w:jc w:val="center"/>
              <w:rPr>
                <w:sz w:val="20"/>
                <w:szCs w:val="20"/>
              </w:rPr>
            </w:pPr>
            <w:r w:rsidRPr="005A4259">
              <w:rPr>
                <w:sz w:val="20"/>
                <w:szCs w:val="20"/>
              </w:rPr>
              <w:t>18%</w:t>
            </w:r>
          </w:p>
        </w:tc>
        <w:tc>
          <w:tcPr>
            <w:tcW w:w="1848" w:type="dxa"/>
            <w:vAlign w:val="center"/>
          </w:tcPr>
          <w:p w:rsidR="00BA6265" w:rsidRPr="005A4259" w:rsidRDefault="00BA6265" w:rsidP="00AF1DEC">
            <w:pPr>
              <w:jc w:val="center"/>
              <w:rPr>
                <w:sz w:val="20"/>
                <w:szCs w:val="20"/>
              </w:rPr>
            </w:pPr>
            <w:r w:rsidRPr="005A4259">
              <w:rPr>
                <w:sz w:val="20"/>
                <w:szCs w:val="20"/>
              </w:rPr>
              <w:t>24%</w:t>
            </w:r>
          </w:p>
        </w:tc>
        <w:tc>
          <w:tcPr>
            <w:tcW w:w="1849" w:type="dxa"/>
            <w:vAlign w:val="center"/>
          </w:tcPr>
          <w:p w:rsidR="00BA6265" w:rsidRPr="005A4259" w:rsidRDefault="00BA6265" w:rsidP="00AF1DEC">
            <w:pPr>
              <w:jc w:val="center"/>
              <w:rPr>
                <w:sz w:val="20"/>
                <w:szCs w:val="20"/>
              </w:rPr>
            </w:pPr>
            <w:r w:rsidRPr="005A4259">
              <w:rPr>
                <w:sz w:val="20"/>
                <w:szCs w:val="20"/>
              </w:rPr>
              <w:t>33%</w:t>
            </w:r>
          </w:p>
        </w:tc>
        <w:tc>
          <w:tcPr>
            <w:tcW w:w="1259" w:type="dxa"/>
          </w:tcPr>
          <w:p w:rsidR="00BA6265" w:rsidRPr="005A4259" w:rsidRDefault="00BA6265" w:rsidP="00AF1DEC">
            <w:pPr>
              <w:jc w:val="center"/>
              <w:rPr>
                <w:b/>
                <w:sz w:val="20"/>
                <w:szCs w:val="20"/>
              </w:rPr>
            </w:pPr>
            <w:r w:rsidRPr="005A4259">
              <w:rPr>
                <w:b/>
                <w:sz w:val="20"/>
                <w:szCs w:val="20"/>
              </w:rPr>
              <w:t>p=0.022</w:t>
            </w:r>
          </w:p>
        </w:tc>
      </w:tr>
      <w:tr w:rsidR="00BA6265" w:rsidTr="005A4259">
        <w:trPr>
          <w:jc w:val="center"/>
        </w:trPr>
        <w:tc>
          <w:tcPr>
            <w:tcW w:w="2382" w:type="dxa"/>
          </w:tcPr>
          <w:p w:rsidR="00BA6265" w:rsidRPr="005A4259" w:rsidRDefault="00BA6265" w:rsidP="005A4259">
            <w:pPr>
              <w:rPr>
                <w:sz w:val="20"/>
                <w:szCs w:val="20"/>
              </w:rPr>
            </w:pPr>
            <w:r w:rsidRPr="005A4259">
              <w:rPr>
                <w:sz w:val="20"/>
                <w:szCs w:val="20"/>
              </w:rPr>
              <w:t>Breastfed</w:t>
            </w:r>
          </w:p>
        </w:tc>
        <w:tc>
          <w:tcPr>
            <w:tcW w:w="1848" w:type="dxa"/>
            <w:vAlign w:val="center"/>
          </w:tcPr>
          <w:p w:rsidR="00BA6265" w:rsidRPr="005A4259" w:rsidRDefault="00BA6265" w:rsidP="00AF1DEC">
            <w:pPr>
              <w:jc w:val="center"/>
              <w:rPr>
                <w:sz w:val="20"/>
                <w:szCs w:val="20"/>
              </w:rPr>
            </w:pPr>
            <w:r w:rsidRPr="005A4259">
              <w:rPr>
                <w:sz w:val="20"/>
                <w:szCs w:val="20"/>
              </w:rPr>
              <w:t>88%</w:t>
            </w:r>
          </w:p>
        </w:tc>
        <w:tc>
          <w:tcPr>
            <w:tcW w:w="1848" w:type="dxa"/>
            <w:vAlign w:val="center"/>
          </w:tcPr>
          <w:p w:rsidR="00BA6265" w:rsidRPr="005A4259" w:rsidRDefault="00BA6265" w:rsidP="00AF1DEC">
            <w:pPr>
              <w:jc w:val="center"/>
              <w:rPr>
                <w:sz w:val="20"/>
                <w:szCs w:val="20"/>
              </w:rPr>
            </w:pPr>
            <w:r w:rsidRPr="005A4259">
              <w:rPr>
                <w:sz w:val="20"/>
                <w:szCs w:val="20"/>
              </w:rPr>
              <w:t>95%</w:t>
            </w:r>
          </w:p>
        </w:tc>
        <w:tc>
          <w:tcPr>
            <w:tcW w:w="1849" w:type="dxa"/>
            <w:vAlign w:val="center"/>
          </w:tcPr>
          <w:p w:rsidR="00BA6265" w:rsidRPr="005A4259" w:rsidRDefault="00BA6265" w:rsidP="00AF1DEC">
            <w:pPr>
              <w:jc w:val="center"/>
              <w:rPr>
                <w:sz w:val="20"/>
                <w:szCs w:val="20"/>
              </w:rPr>
            </w:pPr>
            <w:r w:rsidRPr="005A4259">
              <w:rPr>
                <w:sz w:val="20"/>
                <w:szCs w:val="20"/>
              </w:rPr>
              <w:t>92%</w:t>
            </w:r>
          </w:p>
        </w:tc>
        <w:tc>
          <w:tcPr>
            <w:tcW w:w="1259" w:type="dxa"/>
          </w:tcPr>
          <w:p w:rsidR="00BA6265" w:rsidRPr="005A4259" w:rsidRDefault="00BA6265" w:rsidP="00AF1DEC">
            <w:pPr>
              <w:jc w:val="center"/>
              <w:rPr>
                <w:sz w:val="20"/>
                <w:szCs w:val="20"/>
              </w:rPr>
            </w:pPr>
            <w:r w:rsidRPr="005A4259">
              <w:rPr>
                <w:sz w:val="20"/>
                <w:szCs w:val="20"/>
              </w:rPr>
              <w:t>p=0.075</w:t>
            </w:r>
          </w:p>
        </w:tc>
      </w:tr>
      <w:tr w:rsidR="00BA6265" w:rsidTr="005A4259">
        <w:trPr>
          <w:jc w:val="center"/>
        </w:trPr>
        <w:tc>
          <w:tcPr>
            <w:tcW w:w="2382" w:type="dxa"/>
          </w:tcPr>
          <w:p w:rsidR="00BA6265" w:rsidRPr="005A4259" w:rsidRDefault="00BA6265" w:rsidP="005A4259">
            <w:pPr>
              <w:rPr>
                <w:sz w:val="20"/>
                <w:szCs w:val="20"/>
              </w:rPr>
            </w:pPr>
            <w:r w:rsidRPr="005A4259">
              <w:rPr>
                <w:sz w:val="20"/>
                <w:szCs w:val="20"/>
              </w:rPr>
              <w:t>Pacifier</w:t>
            </w:r>
          </w:p>
        </w:tc>
        <w:tc>
          <w:tcPr>
            <w:tcW w:w="1848" w:type="dxa"/>
            <w:vAlign w:val="center"/>
          </w:tcPr>
          <w:p w:rsidR="00BA6265" w:rsidRPr="005A4259" w:rsidRDefault="00BA6265" w:rsidP="00AF1DEC">
            <w:pPr>
              <w:jc w:val="center"/>
              <w:rPr>
                <w:sz w:val="20"/>
                <w:szCs w:val="20"/>
              </w:rPr>
            </w:pPr>
            <w:r w:rsidRPr="005A4259">
              <w:rPr>
                <w:sz w:val="20"/>
                <w:szCs w:val="20"/>
              </w:rPr>
              <w:t>16%</w:t>
            </w:r>
          </w:p>
        </w:tc>
        <w:tc>
          <w:tcPr>
            <w:tcW w:w="1848" w:type="dxa"/>
            <w:vAlign w:val="center"/>
          </w:tcPr>
          <w:p w:rsidR="00BA6265" w:rsidRPr="005A4259" w:rsidRDefault="00BA6265" w:rsidP="00AF1DEC">
            <w:pPr>
              <w:jc w:val="center"/>
              <w:rPr>
                <w:sz w:val="20"/>
                <w:szCs w:val="20"/>
              </w:rPr>
            </w:pPr>
            <w:r w:rsidRPr="005A4259">
              <w:rPr>
                <w:sz w:val="20"/>
                <w:szCs w:val="20"/>
              </w:rPr>
              <w:t>21%</w:t>
            </w:r>
          </w:p>
        </w:tc>
        <w:tc>
          <w:tcPr>
            <w:tcW w:w="1849" w:type="dxa"/>
            <w:vAlign w:val="center"/>
          </w:tcPr>
          <w:p w:rsidR="00BA6265" w:rsidRPr="005A4259" w:rsidRDefault="00BA6265" w:rsidP="00AF1DEC">
            <w:pPr>
              <w:jc w:val="center"/>
              <w:rPr>
                <w:sz w:val="20"/>
                <w:szCs w:val="20"/>
              </w:rPr>
            </w:pPr>
            <w:r w:rsidRPr="005A4259">
              <w:rPr>
                <w:sz w:val="20"/>
                <w:szCs w:val="20"/>
              </w:rPr>
              <w:t>24%</w:t>
            </w:r>
          </w:p>
        </w:tc>
        <w:tc>
          <w:tcPr>
            <w:tcW w:w="1259" w:type="dxa"/>
          </w:tcPr>
          <w:p w:rsidR="00BA6265" w:rsidRPr="005A4259" w:rsidRDefault="00BA6265" w:rsidP="00AF1DEC">
            <w:pPr>
              <w:jc w:val="center"/>
              <w:rPr>
                <w:sz w:val="20"/>
                <w:szCs w:val="20"/>
              </w:rPr>
            </w:pPr>
            <w:r w:rsidRPr="005A4259">
              <w:rPr>
                <w:sz w:val="20"/>
                <w:szCs w:val="20"/>
              </w:rPr>
              <w:t>p=0.397</w:t>
            </w:r>
          </w:p>
        </w:tc>
      </w:tr>
    </w:tbl>
    <w:p w:rsidR="00BA6265" w:rsidRDefault="00BA6265" w:rsidP="00660039">
      <w:pPr>
        <w:rPr>
          <w:rFonts w:ascii="Courier New" w:hAnsi="Courier New" w:cs="Courier New"/>
        </w:rPr>
      </w:pPr>
    </w:p>
    <w:p w:rsidR="00BA6265" w:rsidRDefault="00BA6265" w:rsidP="00536BD5">
      <w:pPr>
        <w:spacing w:after="120"/>
      </w:pPr>
      <w:r>
        <w:t xml:space="preserve">The rates of all otitis media and the different types of otitis media did not vary significantly over time.  There was less acute otitis media without perforation and chronic </w:t>
      </w:r>
      <w:proofErr w:type="spellStart"/>
      <w:r>
        <w:t>suppurative</w:t>
      </w:r>
      <w:proofErr w:type="spellEnd"/>
      <w:r>
        <w:t xml:space="preserve"> otitis media detected in 2010 but this difference was not statistically significant (see Table 4).</w:t>
      </w:r>
      <w:r w:rsidR="00536BD5">
        <w:t xml:space="preserve"> </w:t>
      </w:r>
    </w:p>
    <w:p w:rsidR="00536BD5" w:rsidRDefault="00BA6265" w:rsidP="00AE58BD">
      <w:r>
        <w:t>When comparing children with tympanic membrane perforation (n=78) and children without tympanic membrane perforation (n=346) the only significant differences were increased use of topical antibiotics (as expected for discharging ears) and increased rate of runny nose detection (nasal discharge visible from a distance of 3 feet)</w:t>
      </w:r>
      <w:r w:rsidRPr="0025502C">
        <w:t xml:space="preserve"> </w:t>
      </w:r>
      <w:r>
        <w:t>(see Table 5).  Children with tympanic membrane perforation lived in more crowded houses and were more likely to be exposed to cigarette smoke.  However, these differences were not statistically significant.  There was no protection apparent from breast feeding or harm apparent from pacifier use or child care attendance.</w:t>
      </w:r>
    </w:p>
    <w:p w:rsidR="00BA6265" w:rsidRPr="00AE58BD" w:rsidRDefault="00BA6265" w:rsidP="00AE58BD">
      <w:pPr>
        <w:rPr>
          <w:b/>
          <w:i/>
        </w:rPr>
      </w:pPr>
      <w:proofErr w:type="gramStart"/>
      <w:r>
        <w:rPr>
          <w:b/>
        </w:rPr>
        <w:lastRenderedPageBreak/>
        <w:t>Table 5.</w:t>
      </w:r>
      <w:proofErr w:type="gramEnd"/>
      <w:r w:rsidRPr="00996E68">
        <w:rPr>
          <w:b/>
        </w:rPr>
        <w:t xml:space="preserve"> </w:t>
      </w:r>
      <w:r w:rsidRPr="00B3156B">
        <w:t>Comparison of children with and without tympanic membrane perforation (TMP)</w:t>
      </w:r>
      <w:r w:rsidRPr="00B3156B">
        <w:br/>
      </w:r>
    </w:p>
    <w:tbl>
      <w:tblPr>
        <w:tblW w:w="9186" w:type="dxa"/>
        <w:jc w:val="center"/>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4"/>
        <w:gridCol w:w="1559"/>
        <w:gridCol w:w="1745"/>
        <w:gridCol w:w="1849"/>
        <w:gridCol w:w="1259"/>
      </w:tblGrid>
      <w:tr w:rsidR="00BA6265" w:rsidRPr="000678F2" w:rsidTr="005A4259">
        <w:trPr>
          <w:jc w:val="center"/>
        </w:trPr>
        <w:tc>
          <w:tcPr>
            <w:tcW w:w="2774" w:type="dxa"/>
            <w:tcBorders>
              <w:bottom w:val="single" w:sz="12" w:space="0" w:color="auto"/>
            </w:tcBorders>
          </w:tcPr>
          <w:p w:rsidR="00BA6265" w:rsidRPr="005A4259" w:rsidRDefault="00BA6265" w:rsidP="005A4259">
            <w:pPr>
              <w:rPr>
                <w:b/>
                <w:sz w:val="20"/>
                <w:szCs w:val="20"/>
              </w:rPr>
            </w:pPr>
          </w:p>
        </w:tc>
        <w:tc>
          <w:tcPr>
            <w:tcW w:w="1559" w:type="dxa"/>
            <w:tcBorders>
              <w:bottom w:val="single" w:sz="12" w:space="0" w:color="auto"/>
            </w:tcBorders>
            <w:vAlign w:val="center"/>
          </w:tcPr>
          <w:p w:rsidR="00BA6265" w:rsidRPr="005A4259" w:rsidRDefault="00BA6265" w:rsidP="004032E0">
            <w:pPr>
              <w:jc w:val="center"/>
              <w:rPr>
                <w:b/>
                <w:sz w:val="20"/>
                <w:szCs w:val="20"/>
              </w:rPr>
            </w:pPr>
            <w:r w:rsidRPr="005A4259">
              <w:rPr>
                <w:b/>
                <w:sz w:val="20"/>
                <w:szCs w:val="20"/>
              </w:rPr>
              <w:t>No TMP</w:t>
            </w:r>
          </w:p>
        </w:tc>
        <w:tc>
          <w:tcPr>
            <w:tcW w:w="1745" w:type="dxa"/>
            <w:tcBorders>
              <w:bottom w:val="single" w:sz="12" w:space="0" w:color="auto"/>
            </w:tcBorders>
            <w:vAlign w:val="center"/>
          </w:tcPr>
          <w:p w:rsidR="00BA6265" w:rsidRPr="005A4259" w:rsidRDefault="00BA6265" w:rsidP="004032E0">
            <w:pPr>
              <w:jc w:val="center"/>
              <w:rPr>
                <w:b/>
                <w:sz w:val="20"/>
                <w:szCs w:val="20"/>
              </w:rPr>
            </w:pPr>
            <w:r w:rsidRPr="005A4259">
              <w:rPr>
                <w:b/>
                <w:sz w:val="20"/>
                <w:szCs w:val="20"/>
              </w:rPr>
              <w:t>TMP</w:t>
            </w:r>
          </w:p>
        </w:tc>
        <w:tc>
          <w:tcPr>
            <w:tcW w:w="1849" w:type="dxa"/>
            <w:tcBorders>
              <w:bottom w:val="single" w:sz="12" w:space="0" w:color="auto"/>
            </w:tcBorders>
            <w:vAlign w:val="center"/>
          </w:tcPr>
          <w:p w:rsidR="00BA6265" w:rsidRPr="005A4259" w:rsidRDefault="00BA6265" w:rsidP="004032E0">
            <w:pPr>
              <w:jc w:val="center"/>
              <w:rPr>
                <w:b/>
                <w:sz w:val="20"/>
                <w:szCs w:val="20"/>
              </w:rPr>
            </w:pPr>
          </w:p>
        </w:tc>
        <w:tc>
          <w:tcPr>
            <w:tcW w:w="1259" w:type="dxa"/>
            <w:tcBorders>
              <w:bottom w:val="single" w:sz="12" w:space="0" w:color="auto"/>
            </w:tcBorders>
          </w:tcPr>
          <w:p w:rsidR="00BA6265" w:rsidRPr="005A4259" w:rsidRDefault="00BA6265" w:rsidP="004032E0">
            <w:pPr>
              <w:jc w:val="center"/>
              <w:rPr>
                <w:b/>
                <w:sz w:val="20"/>
                <w:szCs w:val="20"/>
              </w:rPr>
            </w:pPr>
          </w:p>
        </w:tc>
      </w:tr>
      <w:tr w:rsidR="00BA6265" w:rsidTr="005A4259">
        <w:trPr>
          <w:jc w:val="center"/>
        </w:trPr>
        <w:tc>
          <w:tcPr>
            <w:tcW w:w="2774" w:type="dxa"/>
            <w:tcBorders>
              <w:top w:val="single" w:sz="12" w:space="0" w:color="auto"/>
            </w:tcBorders>
            <w:vAlign w:val="center"/>
          </w:tcPr>
          <w:p w:rsidR="00BA6265" w:rsidRPr="005A4259" w:rsidRDefault="00BA6265" w:rsidP="005A4259">
            <w:pPr>
              <w:rPr>
                <w:sz w:val="20"/>
                <w:szCs w:val="20"/>
              </w:rPr>
            </w:pPr>
            <w:r w:rsidRPr="005A4259">
              <w:rPr>
                <w:sz w:val="20"/>
                <w:szCs w:val="20"/>
              </w:rPr>
              <w:t>n</w:t>
            </w:r>
          </w:p>
        </w:tc>
        <w:tc>
          <w:tcPr>
            <w:tcW w:w="1559" w:type="dxa"/>
            <w:tcBorders>
              <w:top w:val="single" w:sz="12" w:space="0" w:color="auto"/>
            </w:tcBorders>
            <w:vAlign w:val="center"/>
          </w:tcPr>
          <w:p w:rsidR="00BA6265" w:rsidRPr="004032E0" w:rsidRDefault="00BA6265" w:rsidP="004032E0">
            <w:pPr>
              <w:jc w:val="center"/>
              <w:rPr>
                <w:b/>
                <w:sz w:val="20"/>
                <w:szCs w:val="20"/>
              </w:rPr>
            </w:pPr>
            <w:r w:rsidRPr="004032E0">
              <w:rPr>
                <w:b/>
                <w:sz w:val="20"/>
                <w:szCs w:val="20"/>
              </w:rPr>
              <w:t>346</w:t>
            </w:r>
          </w:p>
        </w:tc>
        <w:tc>
          <w:tcPr>
            <w:tcW w:w="1745" w:type="dxa"/>
            <w:tcBorders>
              <w:top w:val="single" w:sz="12" w:space="0" w:color="auto"/>
            </w:tcBorders>
            <w:vAlign w:val="center"/>
          </w:tcPr>
          <w:p w:rsidR="00BA6265" w:rsidRPr="004032E0" w:rsidRDefault="00BA6265" w:rsidP="004032E0">
            <w:pPr>
              <w:jc w:val="center"/>
              <w:rPr>
                <w:b/>
                <w:sz w:val="20"/>
                <w:szCs w:val="20"/>
              </w:rPr>
            </w:pPr>
            <w:r w:rsidRPr="004032E0">
              <w:rPr>
                <w:b/>
                <w:sz w:val="20"/>
                <w:szCs w:val="20"/>
              </w:rPr>
              <w:t>78</w:t>
            </w:r>
          </w:p>
        </w:tc>
        <w:tc>
          <w:tcPr>
            <w:tcW w:w="1849" w:type="dxa"/>
            <w:tcBorders>
              <w:top w:val="single" w:sz="12" w:space="0" w:color="auto"/>
            </w:tcBorders>
            <w:vAlign w:val="center"/>
          </w:tcPr>
          <w:p w:rsidR="00BA6265" w:rsidRPr="005A4259" w:rsidRDefault="00BA6265" w:rsidP="004032E0">
            <w:pPr>
              <w:jc w:val="center"/>
              <w:rPr>
                <w:sz w:val="20"/>
                <w:szCs w:val="20"/>
              </w:rPr>
            </w:pPr>
          </w:p>
        </w:tc>
        <w:tc>
          <w:tcPr>
            <w:tcW w:w="1259" w:type="dxa"/>
            <w:tcBorders>
              <w:top w:val="single" w:sz="12" w:space="0" w:color="auto"/>
            </w:tcBorders>
          </w:tcPr>
          <w:p w:rsidR="00BA6265" w:rsidRPr="005A4259" w:rsidRDefault="00BA6265" w:rsidP="004032E0">
            <w:pPr>
              <w:jc w:val="center"/>
              <w:rPr>
                <w:sz w:val="20"/>
                <w:szCs w:val="20"/>
              </w:rPr>
            </w:pPr>
          </w:p>
        </w:tc>
      </w:tr>
      <w:tr w:rsidR="00BA6265" w:rsidTr="005A4259">
        <w:trPr>
          <w:jc w:val="center"/>
        </w:trPr>
        <w:tc>
          <w:tcPr>
            <w:tcW w:w="2774" w:type="dxa"/>
            <w:tcBorders>
              <w:bottom w:val="single" w:sz="12" w:space="0" w:color="auto"/>
            </w:tcBorders>
          </w:tcPr>
          <w:p w:rsidR="00BA6265" w:rsidRPr="005A4259" w:rsidRDefault="00BA6265" w:rsidP="005A4259">
            <w:pPr>
              <w:rPr>
                <w:sz w:val="20"/>
                <w:szCs w:val="20"/>
              </w:rPr>
            </w:pPr>
            <w:r w:rsidRPr="005A4259">
              <w:rPr>
                <w:sz w:val="20"/>
                <w:szCs w:val="20"/>
              </w:rPr>
              <w:t>Birth weight (kg)</w:t>
            </w:r>
          </w:p>
        </w:tc>
        <w:tc>
          <w:tcPr>
            <w:tcW w:w="1559" w:type="dxa"/>
            <w:tcBorders>
              <w:bottom w:val="single" w:sz="12" w:space="0" w:color="auto"/>
            </w:tcBorders>
            <w:vAlign w:val="center"/>
          </w:tcPr>
          <w:p w:rsidR="00BA6265" w:rsidRPr="005A4259" w:rsidRDefault="00BA6265" w:rsidP="004032E0">
            <w:pPr>
              <w:jc w:val="center"/>
              <w:rPr>
                <w:sz w:val="20"/>
                <w:szCs w:val="20"/>
              </w:rPr>
            </w:pPr>
            <w:r w:rsidRPr="005A4259">
              <w:rPr>
                <w:sz w:val="20"/>
                <w:szCs w:val="20"/>
              </w:rPr>
              <w:t>2.99</w:t>
            </w:r>
          </w:p>
        </w:tc>
        <w:tc>
          <w:tcPr>
            <w:tcW w:w="1745" w:type="dxa"/>
            <w:tcBorders>
              <w:bottom w:val="single" w:sz="12" w:space="0" w:color="auto"/>
            </w:tcBorders>
            <w:vAlign w:val="center"/>
          </w:tcPr>
          <w:p w:rsidR="00BA6265" w:rsidRPr="005A4259" w:rsidRDefault="00BA6265" w:rsidP="004032E0">
            <w:pPr>
              <w:jc w:val="center"/>
              <w:rPr>
                <w:sz w:val="20"/>
                <w:szCs w:val="20"/>
              </w:rPr>
            </w:pPr>
            <w:r w:rsidRPr="005A4259">
              <w:rPr>
                <w:sz w:val="20"/>
                <w:szCs w:val="20"/>
              </w:rPr>
              <w:t>3.02</w:t>
            </w:r>
          </w:p>
        </w:tc>
        <w:tc>
          <w:tcPr>
            <w:tcW w:w="1849" w:type="dxa"/>
            <w:tcBorders>
              <w:bottom w:val="single" w:sz="12" w:space="0" w:color="auto"/>
            </w:tcBorders>
            <w:vAlign w:val="center"/>
          </w:tcPr>
          <w:p w:rsidR="00BA6265" w:rsidRPr="005A4259" w:rsidRDefault="00BA6265" w:rsidP="004032E0">
            <w:pPr>
              <w:jc w:val="center"/>
              <w:rPr>
                <w:sz w:val="20"/>
                <w:szCs w:val="20"/>
              </w:rPr>
            </w:pPr>
          </w:p>
        </w:tc>
        <w:tc>
          <w:tcPr>
            <w:tcW w:w="1259" w:type="dxa"/>
            <w:tcBorders>
              <w:bottom w:val="single" w:sz="12" w:space="0" w:color="auto"/>
            </w:tcBorders>
          </w:tcPr>
          <w:p w:rsidR="00BA6265" w:rsidRPr="005A4259" w:rsidRDefault="00BA6265" w:rsidP="004032E0">
            <w:pPr>
              <w:jc w:val="center"/>
              <w:rPr>
                <w:sz w:val="20"/>
                <w:szCs w:val="20"/>
              </w:rPr>
            </w:pPr>
          </w:p>
        </w:tc>
      </w:tr>
      <w:tr w:rsidR="00BA6265" w:rsidTr="005A4259">
        <w:trPr>
          <w:jc w:val="center"/>
        </w:trPr>
        <w:tc>
          <w:tcPr>
            <w:tcW w:w="2774" w:type="dxa"/>
            <w:tcBorders>
              <w:top w:val="single" w:sz="12" w:space="0" w:color="auto"/>
            </w:tcBorders>
            <w:vAlign w:val="center"/>
          </w:tcPr>
          <w:p w:rsidR="00BA6265" w:rsidRPr="005A4259" w:rsidRDefault="00BA6265" w:rsidP="005A4259">
            <w:pPr>
              <w:rPr>
                <w:sz w:val="20"/>
                <w:szCs w:val="20"/>
              </w:rPr>
            </w:pPr>
            <w:r w:rsidRPr="005A4259">
              <w:rPr>
                <w:sz w:val="20"/>
                <w:szCs w:val="20"/>
              </w:rPr>
              <w:t>n</w:t>
            </w:r>
          </w:p>
        </w:tc>
        <w:tc>
          <w:tcPr>
            <w:tcW w:w="1559" w:type="dxa"/>
            <w:tcBorders>
              <w:top w:val="single" w:sz="12" w:space="0" w:color="auto"/>
            </w:tcBorders>
            <w:vAlign w:val="center"/>
          </w:tcPr>
          <w:p w:rsidR="00BA6265" w:rsidRPr="004032E0" w:rsidRDefault="00BA6265" w:rsidP="004032E0">
            <w:pPr>
              <w:jc w:val="center"/>
              <w:rPr>
                <w:b/>
                <w:sz w:val="20"/>
                <w:szCs w:val="20"/>
              </w:rPr>
            </w:pPr>
            <w:r w:rsidRPr="004032E0">
              <w:rPr>
                <w:b/>
                <w:sz w:val="20"/>
                <w:szCs w:val="20"/>
              </w:rPr>
              <w:t>331</w:t>
            </w:r>
          </w:p>
        </w:tc>
        <w:tc>
          <w:tcPr>
            <w:tcW w:w="1745" w:type="dxa"/>
            <w:tcBorders>
              <w:top w:val="single" w:sz="12" w:space="0" w:color="auto"/>
            </w:tcBorders>
            <w:vAlign w:val="center"/>
          </w:tcPr>
          <w:p w:rsidR="00BA6265" w:rsidRPr="004032E0" w:rsidRDefault="00BA6265" w:rsidP="004032E0">
            <w:pPr>
              <w:jc w:val="center"/>
              <w:rPr>
                <w:b/>
                <w:sz w:val="20"/>
                <w:szCs w:val="20"/>
              </w:rPr>
            </w:pPr>
            <w:r w:rsidRPr="004032E0">
              <w:rPr>
                <w:b/>
                <w:sz w:val="20"/>
                <w:szCs w:val="20"/>
              </w:rPr>
              <w:t>74</w:t>
            </w:r>
          </w:p>
        </w:tc>
        <w:tc>
          <w:tcPr>
            <w:tcW w:w="1849" w:type="dxa"/>
            <w:tcBorders>
              <w:top w:val="single" w:sz="12" w:space="0" w:color="auto"/>
            </w:tcBorders>
            <w:vAlign w:val="center"/>
          </w:tcPr>
          <w:p w:rsidR="00BA6265" w:rsidRPr="005A4259" w:rsidRDefault="00BA6265" w:rsidP="004032E0">
            <w:pPr>
              <w:jc w:val="center"/>
              <w:rPr>
                <w:sz w:val="20"/>
                <w:szCs w:val="20"/>
              </w:rPr>
            </w:pPr>
          </w:p>
        </w:tc>
        <w:tc>
          <w:tcPr>
            <w:tcW w:w="1259" w:type="dxa"/>
            <w:tcBorders>
              <w:top w:val="single" w:sz="12" w:space="0" w:color="auto"/>
            </w:tcBorders>
          </w:tcPr>
          <w:p w:rsidR="00BA6265" w:rsidRPr="005A4259" w:rsidRDefault="00BA6265" w:rsidP="004032E0">
            <w:pPr>
              <w:jc w:val="center"/>
              <w:rPr>
                <w:sz w:val="20"/>
                <w:szCs w:val="20"/>
              </w:rPr>
            </w:pPr>
          </w:p>
        </w:tc>
      </w:tr>
      <w:tr w:rsidR="00BA6265" w:rsidTr="005A4259">
        <w:trPr>
          <w:jc w:val="center"/>
        </w:trPr>
        <w:tc>
          <w:tcPr>
            <w:tcW w:w="2774" w:type="dxa"/>
            <w:tcBorders>
              <w:bottom w:val="single" w:sz="12" w:space="0" w:color="auto"/>
            </w:tcBorders>
          </w:tcPr>
          <w:p w:rsidR="00BA6265" w:rsidRPr="005A4259" w:rsidRDefault="00BA6265" w:rsidP="005A4259">
            <w:pPr>
              <w:rPr>
                <w:sz w:val="20"/>
                <w:szCs w:val="20"/>
              </w:rPr>
            </w:pPr>
            <w:r w:rsidRPr="005A4259">
              <w:rPr>
                <w:sz w:val="20"/>
                <w:szCs w:val="20"/>
              </w:rPr>
              <w:t>Gestational age (weeks)</w:t>
            </w:r>
          </w:p>
        </w:tc>
        <w:tc>
          <w:tcPr>
            <w:tcW w:w="1559" w:type="dxa"/>
            <w:tcBorders>
              <w:bottom w:val="single" w:sz="12" w:space="0" w:color="auto"/>
            </w:tcBorders>
            <w:vAlign w:val="center"/>
          </w:tcPr>
          <w:p w:rsidR="00BA6265" w:rsidRPr="005A4259" w:rsidRDefault="00BA6265" w:rsidP="004032E0">
            <w:pPr>
              <w:jc w:val="center"/>
              <w:rPr>
                <w:sz w:val="20"/>
                <w:szCs w:val="20"/>
              </w:rPr>
            </w:pPr>
            <w:r w:rsidRPr="005A4259">
              <w:rPr>
                <w:sz w:val="20"/>
                <w:szCs w:val="20"/>
              </w:rPr>
              <w:t>37.95</w:t>
            </w:r>
          </w:p>
        </w:tc>
        <w:tc>
          <w:tcPr>
            <w:tcW w:w="1745" w:type="dxa"/>
            <w:tcBorders>
              <w:bottom w:val="single" w:sz="12" w:space="0" w:color="auto"/>
            </w:tcBorders>
            <w:vAlign w:val="center"/>
          </w:tcPr>
          <w:p w:rsidR="00BA6265" w:rsidRPr="005A4259" w:rsidRDefault="00BA6265" w:rsidP="004032E0">
            <w:pPr>
              <w:jc w:val="center"/>
              <w:rPr>
                <w:sz w:val="20"/>
                <w:szCs w:val="20"/>
              </w:rPr>
            </w:pPr>
            <w:r w:rsidRPr="005A4259">
              <w:rPr>
                <w:sz w:val="20"/>
                <w:szCs w:val="20"/>
              </w:rPr>
              <w:t>38.05</w:t>
            </w:r>
          </w:p>
        </w:tc>
        <w:tc>
          <w:tcPr>
            <w:tcW w:w="1849" w:type="dxa"/>
            <w:tcBorders>
              <w:bottom w:val="single" w:sz="12" w:space="0" w:color="auto"/>
            </w:tcBorders>
            <w:vAlign w:val="center"/>
          </w:tcPr>
          <w:p w:rsidR="00BA6265" w:rsidRPr="005A4259" w:rsidRDefault="00BA6265" w:rsidP="004032E0">
            <w:pPr>
              <w:jc w:val="center"/>
              <w:rPr>
                <w:sz w:val="20"/>
                <w:szCs w:val="20"/>
              </w:rPr>
            </w:pPr>
          </w:p>
        </w:tc>
        <w:tc>
          <w:tcPr>
            <w:tcW w:w="1259" w:type="dxa"/>
            <w:tcBorders>
              <w:bottom w:val="single" w:sz="12" w:space="0" w:color="auto"/>
            </w:tcBorders>
          </w:tcPr>
          <w:p w:rsidR="00BA6265" w:rsidRPr="005A4259" w:rsidRDefault="00BA6265" w:rsidP="004032E0">
            <w:pPr>
              <w:jc w:val="center"/>
              <w:rPr>
                <w:sz w:val="20"/>
                <w:szCs w:val="20"/>
              </w:rPr>
            </w:pPr>
          </w:p>
        </w:tc>
      </w:tr>
      <w:tr w:rsidR="00BA6265" w:rsidTr="005A4259">
        <w:trPr>
          <w:jc w:val="center"/>
        </w:trPr>
        <w:tc>
          <w:tcPr>
            <w:tcW w:w="2774" w:type="dxa"/>
            <w:tcBorders>
              <w:top w:val="single" w:sz="12" w:space="0" w:color="auto"/>
            </w:tcBorders>
            <w:vAlign w:val="center"/>
          </w:tcPr>
          <w:p w:rsidR="00BA6265" w:rsidRPr="005A4259" w:rsidRDefault="00BA6265" w:rsidP="005A4259">
            <w:pPr>
              <w:rPr>
                <w:sz w:val="20"/>
                <w:szCs w:val="20"/>
              </w:rPr>
            </w:pPr>
            <w:r w:rsidRPr="005A4259">
              <w:rPr>
                <w:sz w:val="20"/>
                <w:szCs w:val="20"/>
              </w:rPr>
              <w:t>n</w:t>
            </w:r>
          </w:p>
        </w:tc>
        <w:tc>
          <w:tcPr>
            <w:tcW w:w="1559" w:type="dxa"/>
            <w:tcBorders>
              <w:top w:val="single" w:sz="12" w:space="0" w:color="auto"/>
            </w:tcBorders>
            <w:vAlign w:val="center"/>
          </w:tcPr>
          <w:p w:rsidR="00BA6265" w:rsidRPr="004032E0" w:rsidRDefault="00BA6265" w:rsidP="004032E0">
            <w:pPr>
              <w:jc w:val="center"/>
              <w:rPr>
                <w:b/>
                <w:sz w:val="20"/>
                <w:szCs w:val="20"/>
              </w:rPr>
            </w:pPr>
            <w:r w:rsidRPr="004032E0">
              <w:rPr>
                <w:b/>
                <w:sz w:val="20"/>
                <w:szCs w:val="20"/>
              </w:rPr>
              <w:t>415</w:t>
            </w:r>
          </w:p>
        </w:tc>
        <w:tc>
          <w:tcPr>
            <w:tcW w:w="1745" w:type="dxa"/>
            <w:tcBorders>
              <w:top w:val="single" w:sz="12" w:space="0" w:color="auto"/>
            </w:tcBorders>
            <w:vAlign w:val="center"/>
          </w:tcPr>
          <w:p w:rsidR="00BA6265" w:rsidRPr="004032E0" w:rsidRDefault="00BA6265" w:rsidP="004032E0">
            <w:pPr>
              <w:jc w:val="center"/>
              <w:rPr>
                <w:b/>
                <w:sz w:val="20"/>
                <w:szCs w:val="20"/>
              </w:rPr>
            </w:pPr>
            <w:r w:rsidRPr="004032E0">
              <w:rPr>
                <w:b/>
                <w:sz w:val="20"/>
                <w:szCs w:val="20"/>
              </w:rPr>
              <w:t>95</w:t>
            </w:r>
          </w:p>
        </w:tc>
        <w:tc>
          <w:tcPr>
            <w:tcW w:w="1849" w:type="dxa"/>
            <w:tcBorders>
              <w:top w:val="single" w:sz="12" w:space="0" w:color="auto"/>
            </w:tcBorders>
            <w:vAlign w:val="center"/>
          </w:tcPr>
          <w:p w:rsidR="00BA6265" w:rsidRPr="005A4259" w:rsidRDefault="00BA6265" w:rsidP="004032E0">
            <w:pPr>
              <w:jc w:val="center"/>
              <w:rPr>
                <w:sz w:val="20"/>
                <w:szCs w:val="20"/>
              </w:rPr>
            </w:pPr>
          </w:p>
        </w:tc>
        <w:tc>
          <w:tcPr>
            <w:tcW w:w="1259" w:type="dxa"/>
            <w:tcBorders>
              <w:top w:val="single" w:sz="12" w:space="0" w:color="auto"/>
            </w:tcBorders>
          </w:tcPr>
          <w:p w:rsidR="00BA6265" w:rsidRPr="005A4259" w:rsidRDefault="00BA6265" w:rsidP="004032E0">
            <w:pPr>
              <w:jc w:val="center"/>
              <w:rPr>
                <w:sz w:val="20"/>
                <w:szCs w:val="20"/>
              </w:rPr>
            </w:pPr>
          </w:p>
        </w:tc>
      </w:tr>
      <w:tr w:rsidR="00BA6265" w:rsidTr="005A4259">
        <w:trPr>
          <w:jc w:val="center"/>
        </w:trPr>
        <w:tc>
          <w:tcPr>
            <w:tcW w:w="2774" w:type="dxa"/>
            <w:tcBorders>
              <w:bottom w:val="single" w:sz="12" w:space="0" w:color="auto"/>
            </w:tcBorders>
          </w:tcPr>
          <w:p w:rsidR="00BA6265" w:rsidRPr="005A4259" w:rsidRDefault="00BA6265" w:rsidP="005A4259">
            <w:pPr>
              <w:rPr>
                <w:sz w:val="20"/>
                <w:szCs w:val="20"/>
              </w:rPr>
            </w:pPr>
            <w:r w:rsidRPr="005A4259">
              <w:rPr>
                <w:sz w:val="20"/>
                <w:szCs w:val="20"/>
              </w:rPr>
              <w:t>Mena age (months)</w:t>
            </w:r>
          </w:p>
        </w:tc>
        <w:tc>
          <w:tcPr>
            <w:tcW w:w="1559" w:type="dxa"/>
            <w:tcBorders>
              <w:bottom w:val="single" w:sz="12" w:space="0" w:color="auto"/>
            </w:tcBorders>
            <w:vAlign w:val="center"/>
          </w:tcPr>
          <w:p w:rsidR="00BA6265" w:rsidRPr="005A4259" w:rsidRDefault="00BA6265" w:rsidP="004032E0">
            <w:pPr>
              <w:jc w:val="center"/>
              <w:rPr>
                <w:sz w:val="20"/>
                <w:szCs w:val="20"/>
              </w:rPr>
            </w:pPr>
            <w:r w:rsidRPr="005A4259">
              <w:rPr>
                <w:sz w:val="20"/>
                <w:szCs w:val="20"/>
              </w:rPr>
              <w:t>20.6</w:t>
            </w:r>
          </w:p>
        </w:tc>
        <w:tc>
          <w:tcPr>
            <w:tcW w:w="1745" w:type="dxa"/>
            <w:tcBorders>
              <w:bottom w:val="single" w:sz="12" w:space="0" w:color="auto"/>
            </w:tcBorders>
            <w:vAlign w:val="center"/>
          </w:tcPr>
          <w:p w:rsidR="00BA6265" w:rsidRPr="005A4259" w:rsidRDefault="00BA6265" w:rsidP="004032E0">
            <w:pPr>
              <w:jc w:val="center"/>
              <w:rPr>
                <w:sz w:val="20"/>
                <w:szCs w:val="20"/>
              </w:rPr>
            </w:pPr>
            <w:r w:rsidRPr="005A4259">
              <w:rPr>
                <w:sz w:val="20"/>
                <w:szCs w:val="20"/>
              </w:rPr>
              <w:t>21.5</w:t>
            </w:r>
          </w:p>
        </w:tc>
        <w:tc>
          <w:tcPr>
            <w:tcW w:w="1849" w:type="dxa"/>
            <w:tcBorders>
              <w:bottom w:val="single" w:sz="12" w:space="0" w:color="auto"/>
            </w:tcBorders>
            <w:vAlign w:val="center"/>
          </w:tcPr>
          <w:p w:rsidR="00BA6265" w:rsidRPr="005A4259" w:rsidRDefault="00BA6265" w:rsidP="004032E0">
            <w:pPr>
              <w:jc w:val="center"/>
              <w:rPr>
                <w:sz w:val="20"/>
                <w:szCs w:val="20"/>
              </w:rPr>
            </w:pPr>
          </w:p>
        </w:tc>
        <w:tc>
          <w:tcPr>
            <w:tcW w:w="1259" w:type="dxa"/>
            <w:tcBorders>
              <w:bottom w:val="single" w:sz="12" w:space="0" w:color="auto"/>
            </w:tcBorders>
          </w:tcPr>
          <w:p w:rsidR="00BA6265" w:rsidRPr="005A4259" w:rsidRDefault="00BA6265" w:rsidP="004032E0">
            <w:pPr>
              <w:jc w:val="center"/>
              <w:rPr>
                <w:sz w:val="20"/>
                <w:szCs w:val="20"/>
              </w:rPr>
            </w:pPr>
          </w:p>
        </w:tc>
      </w:tr>
      <w:tr w:rsidR="00BA6265" w:rsidTr="005A4259">
        <w:trPr>
          <w:jc w:val="center"/>
        </w:trPr>
        <w:tc>
          <w:tcPr>
            <w:tcW w:w="2774" w:type="dxa"/>
            <w:tcBorders>
              <w:top w:val="single" w:sz="12" w:space="0" w:color="auto"/>
            </w:tcBorders>
          </w:tcPr>
          <w:p w:rsidR="00BA6265" w:rsidRPr="005A4259" w:rsidRDefault="00BA6265" w:rsidP="005A4259">
            <w:pPr>
              <w:rPr>
                <w:sz w:val="20"/>
                <w:szCs w:val="20"/>
              </w:rPr>
            </w:pPr>
            <w:r w:rsidRPr="005A4259">
              <w:rPr>
                <w:sz w:val="20"/>
                <w:szCs w:val="20"/>
              </w:rPr>
              <w:t>Antibiotics (5 weeks) n</w:t>
            </w:r>
          </w:p>
        </w:tc>
        <w:tc>
          <w:tcPr>
            <w:tcW w:w="1559" w:type="dxa"/>
            <w:tcBorders>
              <w:top w:val="single" w:sz="12" w:space="0" w:color="auto"/>
            </w:tcBorders>
            <w:vAlign w:val="center"/>
          </w:tcPr>
          <w:p w:rsidR="00BA6265" w:rsidRPr="004032E0" w:rsidRDefault="00BA6265" w:rsidP="004032E0">
            <w:pPr>
              <w:jc w:val="center"/>
              <w:rPr>
                <w:b/>
                <w:sz w:val="20"/>
                <w:szCs w:val="20"/>
              </w:rPr>
            </w:pPr>
            <w:r w:rsidRPr="004032E0">
              <w:rPr>
                <w:b/>
                <w:sz w:val="20"/>
                <w:szCs w:val="20"/>
              </w:rPr>
              <w:t>394</w:t>
            </w:r>
          </w:p>
        </w:tc>
        <w:tc>
          <w:tcPr>
            <w:tcW w:w="1745" w:type="dxa"/>
            <w:tcBorders>
              <w:top w:val="single" w:sz="12" w:space="0" w:color="auto"/>
            </w:tcBorders>
            <w:vAlign w:val="center"/>
          </w:tcPr>
          <w:p w:rsidR="00BA6265" w:rsidRPr="004032E0" w:rsidRDefault="00BA6265" w:rsidP="004032E0">
            <w:pPr>
              <w:jc w:val="center"/>
              <w:rPr>
                <w:b/>
                <w:sz w:val="20"/>
                <w:szCs w:val="20"/>
              </w:rPr>
            </w:pPr>
            <w:r w:rsidRPr="004032E0">
              <w:rPr>
                <w:b/>
                <w:sz w:val="20"/>
                <w:szCs w:val="20"/>
              </w:rPr>
              <w:t>92</w:t>
            </w:r>
          </w:p>
        </w:tc>
        <w:tc>
          <w:tcPr>
            <w:tcW w:w="1849" w:type="dxa"/>
            <w:tcBorders>
              <w:top w:val="single" w:sz="12" w:space="0" w:color="auto"/>
            </w:tcBorders>
            <w:vAlign w:val="center"/>
          </w:tcPr>
          <w:p w:rsidR="00BA6265" w:rsidRPr="005A4259" w:rsidRDefault="00BA6265" w:rsidP="004032E0">
            <w:pPr>
              <w:jc w:val="center"/>
              <w:rPr>
                <w:sz w:val="20"/>
                <w:szCs w:val="20"/>
              </w:rPr>
            </w:pPr>
          </w:p>
        </w:tc>
        <w:tc>
          <w:tcPr>
            <w:tcW w:w="1259" w:type="dxa"/>
            <w:tcBorders>
              <w:top w:val="single" w:sz="12" w:space="0" w:color="auto"/>
            </w:tcBorders>
          </w:tcPr>
          <w:p w:rsidR="00BA6265" w:rsidRPr="005A4259" w:rsidRDefault="00BA6265" w:rsidP="004032E0">
            <w:pPr>
              <w:jc w:val="center"/>
              <w:rPr>
                <w:sz w:val="20"/>
                <w:szCs w:val="20"/>
              </w:rPr>
            </w:pPr>
          </w:p>
        </w:tc>
      </w:tr>
      <w:tr w:rsidR="00BA6265" w:rsidTr="005A4259">
        <w:trPr>
          <w:jc w:val="center"/>
        </w:trPr>
        <w:tc>
          <w:tcPr>
            <w:tcW w:w="2774" w:type="dxa"/>
            <w:vAlign w:val="center"/>
          </w:tcPr>
          <w:p w:rsidR="00BA6265" w:rsidRPr="005A4259" w:rsidRDefault="00BA6265" w:rsidP="005A4259">
            <w:pPr>
              <w:rPr>
                <w:sz w:val="20"/>
                <w:szCs w:val="20"/>
              </w:rPr>
            </w:pPr>
            <w:r w:rsidRPr="005A4259">
              <w:rPr>
                <w:sz w:val="20"/>
                <w:szCs w:val="20"/>
              </w:rPr>
              <w:t>any</w:t>
            </w:r>
          </w:p>
        </w:tc>
        <w:tc>
          <w:tcPr>
            <w:tcW w:w="1559" w:type="dxa"/>
            <w:vAlign w:val="center"/>
          </w:tcPr>
          <w:p w:rsidR="00BA6265" w:rsidRPr="005A4259" w:rsidRDefault="00BA6265" w:rsidP="004032E0">
            <w:pPr>
              <w:jc w:val="center"/>
              <w:rPr>
                <w:sz w:val="20"/>
                <w:szCs w:val="20"/>
              </w:rPr>
            </w:pPr>
            <w:r w:rsidRPr="005A4259">
              <w:rPr>
                <w:sz w:val="20"/>
                <w:szCs w:val="20"/>
              </w:rPr>
              <w:t>27%</w:t>
            </w:r>
          </w:p>
        </w:tc>
        <w:tc>
          <w:tcPr>
            <w:tcW w:w="1745" w:type="dxa"/>
            <w:vAlign w:val="center"/>
          </w:tcPr>
          <w:p w:rsidR="00BA6265" w:rsidRPr="005A4259" w:rsidRDefault="00BA6265" w:rsidP="004032E0">
            <w:pPr>
              <w:jc w:val="center"/>
              <w:rPr>
                <w:sz w:val="20"/>
                <w:szCs w:val="20"/>
              </w:rPr>
            </w:pPr>
            <w:r w:rsidRPr="005A4259">
              <w:rPr>
                <w:sz w:val="20"/>
                <w:szCs w:val="20"/>
              </w:rPr>
              <w:t>38%</w:t>
            </w:r>
          </w:p>
        </w:tc>
        <w:tc>
          <w:tcPr>
            <w:tcW w:w="1849" w:type="dxa"/>
            <w:vAlign w:val="center"/>
          </w:tcPr>
          <w:p w:rsidR="00BA6265" w:rsidRPr="005A4259" w:rsidRDefault="00BA6265" w:rsidP="004032E0">
            <w:pPr>
              <w:jc w:val="center"/>
              <w:rPr>
                <w:sz w:val="20"/>
                <w:szCs w:val="20"/>
              </w:rPr>
            </w:pPr>
          </w:p>
        </w:tc>
        <w:tc>
          <w:tcPr>
            <w:tcW w:w="1259" w:type="dxa"/>
          </w:tcPr>
          <w:p w:rsidR="00BA6265" w:rsidRPr="005A4259" w:rsidRDefault="00BA6265" w:rsidP="004032E0">
            <w:pPr>
              <w:jc w:val="center"/>
              <w:rPr>
                <w:sz w:val="20"/>
                <w:szCs w:val="20"/>
              </w:rPr>
            </w:pPr>
          </w:p>
        </w:tc>
      </w:tr>
      <w:tr w:rsidR="00BA6265" w:rsidTr="005A4259">
        <w:trPr>
          <w:jc w:val="center"/>
        </w:trPr>
        <w:tc>
          <w:tcPr>
            <w:tcW w:w="2774" w:type="dxa"/>
            <w:vAlign w:val="center"/>
          </w:tcPr>
          <w:p w:rsidR="00BA6265" w:rsidRPr="005A4259" w:rsidRDefault="00BA6265" w:rsidP="005A4259">
            <w:pPr>
              <w:rPr>
                <w:sz w:val="20"/>
                <w:szCs w:val="20"/>
              </w:rPr>
            </w:pPr>
            <w:proofErr w:type="spellStart"/>
            <w:r w:rsidRPr="005A4259">
              <w:rPr>
                <w:sz w:val="20"/>
                <w:szCs w:val="20"/>
              </w:rPr>
              <w:t>betalactam</w:t>
            </w:r>
            <w:proofErr w:type="spellEnd"/>
          </w:p>
        </w:tc>
        <w:tc>
          <w:tcPr>
            <w:tcW w:w="1559" w:type="dxa"/>
            <w:vAlign w:val="center"/>
          </w:tcPr>
          <w:p w:rsidR="00BA6265" w:rsidRPr="005A4259" w:rsidRDefault="00BA6265" w:rsidP="004032E0">
            <w:pPr>
              <w:jc w:val="center"/>
              <w:rPr>
                <w:sz w:val="20"/>
                <w:szCs w:val="20"/>
              </w:rPr>
            </w:pPr>
            <w:r w:rsidRPr="005A4259">
              <w:rPr>
                <w:sz w:val="20"/>
                <w:szCs w:val="20"/>
              </w:rPr>
              <w:t>80%</w:t>
            </w:r>
          </w:p>
        </w:tc>
        <w:tc>
          <w:tcPr>
            <w:tcW w:w="1745" w:type="dxa"/>
            <w:vAlign w:val="center"/>
          </w:tcPr>
          <w:p w:rsidR="00BA6265" w:rsidRPr="005A4259" w:rsidRDefault="00BA6265" w:rsidP="004032E0">
            <w:pPr>
              <w:jc w:val="center"/>
              <w:rPr>
                <w:sz w:val="20"/>
                <w:szCs w:val="20"/>
              </w:rPr>
            </w:pPr>
            <w:r w:rsidRPr="005A4259">
              <w:rPr>
                <w:sz w:val="20"/>
                <w:szCs w:val="20"/>
              </w:rPr>
              <w:t>83%</w:t>
            </w:r>
          </w:p>
        </w:tc>
        <w:tc>
          <w:tcPr>
            <w:tcW w:w="1849" w:type="dxa"/>
            <w:vAlign w:val="center"/>
          </w:tcPr>
          <w:p w:rsidR="00BA6265" w:rsidRPr="005A4259" w:rsidRDefault="00BA6265" w:rsidP="004032E0">
            <w:pPr>
              <w:jc w:val="center"/>
              <w:rPr>
                <w:sz w:val="20"/>
                <w:szCs w:val="20"/>
              </w:rPr>
            </w:pPr>
          </w:p>
        </w:tc>
        <w:tc>
          <w:tcPr>
            <w:tcW w:w="1259" w:type="dxa"/>
          </w:tcPr>
          <w:p w:rsidR="00BA6265" w:rsidRPr="005A4259" w:rsidRDefault="00BA6265" w:rsidP="004032E0">
            <w:pPr>
              <w:jc w:val="center"/>
              <w:rPr>
                <w:sz w:val="20"/>
                <w:szCs w:val="20"/>
              </w:rPr>
            </w:pPr>
          </w:p>
        </w:tc>
      </w:tr>
      <w:tr w:rsidR="00BA6265" w:rsidTr="005A4259">
        <w:trPr>
          <w:jc w:val="center"/>
        </w:trPr>
        <w:tc>
          <w:tcPr>
            <w:tcW w:w="2774" w:type="dxa"/>
            <w:vAlign w:val="center"/>
          </w:tcPr>
          <w:p w:rsidR="00BA6265" w:rsidRPr="005A4259" w:rsidRDefault="00BA6265" w:rsidP="005A4259">
            <w:pPr>
              <w:rPr>
                <w:sz w:val="20"/>
                <w:szCs w:val="20"/>
              </w:rPr>
            </w:pPr>
            <w:r w:rsidRPr="005A4259">
              <w:rPr>
                <w:sz w:val="20"/>
                <w:szCs w:val="20"/>
              </w:rPr>
              <w:t>macrolide</w:t>
            </w:r>
          </w:p>
        </w:tc>
        <w:tc>
          <w:tcPr>
            <w:tcW w:w="1559" w:type="dxa"/>
            <w:vAlign w:val="center"/>
          </w:tcPr>
          <w:p w:rsidR="00BA6265" w:rsidRPr="005A4259" w:rsidRDefault="00BA6265" w:rsidP="004032E0">
            <w:pPr>
              <w:jc w:val="center"/>
              <w:rPr>
                <w:sz w:val="20"/>
                <w:szCs w:val="20"/>
              </w:rPr>
            </w:pPr>
            <w:r w:rsidRPr="005A4259">
              <w:rPr>
                <w:sz w:val="20"/>
                <w:szCs w:val="20"/>
              </w:rPr>
              <w:t>10%</w:t>
            </w:r>
          </w:p>
        </w:tc>
        <w:tc>
          <w:tcPr>
            <w:tcW w:w="1745" w:type="dxa"/>
            <w:vAlign w:val="center"/>
          </w:tcPr>
          <w:p w:rsidR="00BA6265" w:rsidRPr="005A4259" w:rsidRDefault="00BA6265" w:rsidP="004032E0">
            <w:pPr>
              <w:jc w:val="center"/>
              <w:rPr>
                <w:sz w:val="20"/>
                <w:szCs w:val="20"/>
              </w:rPr>
            </w:pPr>
            <w:r w:rsidRPr="005A4259">
              <w:rPr>
                <w:sz w:val="20"/>
                <w:szCs w:val="20"/>
              </w:rPr>
              <w:t>8%</w:t>
            </w:r>
          </w:p>
        </w:tc>
        <w:tc>
          <w:tcPr>
            <w:tcW w:w="1849" w:type="dxa"/>
            <w:vAlign w:val="center"/>
          </w:tcPr>
          <w:p w:rsidR="00BA6265" w:rsidRPr="005A4259" w:rsidRDefault="00BA6265" w:rsidP="004032E0">
            <w:pPr>
              <w:jc w:val="center"/>
              <w:rPr>
                <w:sz w:val="20"/>
                <w:szCs w:val="20"/>
              </w:rPr>
            </w:pPr>
          </w:p>
        </w:tc>
        <w:tc>
          <w:tcPr>
            <w:tcW w:w="1259" w:type="dxa"/>
          </w:tcPr>
          <w:p w:rsidR="00BA6265" w:rsidRPr="005A4259" w:rsidRDefault="00BA6265" w:rsidP="004032E0">
            <w:pPr>
              <w:jc w:val="center"/>
              <w:rPr>
                <w:sz w:val="20"/>
                <w:szCs w:val="20"/>
              </w:rPr>
            </w:pPr>
          </w:p>
        </w:tc>
      </w:tr>
      <w:tr w:rsidR="00BA6265" w:rsidTr="005A4259">
        <w:trPr>
          <w:jc w:val="center"/>
        </w:trPr>
        <w:tc>
          <w:tcPr>
            <w:tcW w:w="2774" w:type="dxa"/>
            <w:tcBorders>
              <w:bottom w:val="single" w:sz="12" w:space="0" w:color="auto"/>
            </w:tcBorders>
            <w:vAlign w:val="center"/>
          </w:tcPr>
          <w:p w:rsidR="00BA6265" w:rsidRPr="005A4259" w:rsidRDefault="00BA6265" w:rsidP="005A4259">
            <w:pPr>
              <w:rPr>
                <w:sz w:val="20"/>
                <w:szCs w:val="20"/>
              </w:rPr>
            </w:pPr>
            <w:r w:rsidRPr="005A4259">
              <w:rPr>
                <w:sz w:val="20"/>
                <w:szCs w:val="20"/>
              </w:rPr>
              <w:t>topical</w:t>
            </w:r>
          </w:p>
        </w:tc>
        <w:tc>
          <w:tcPr>
            <w:tcW w:w="1559" w:type="dxa"/>
            <w:tcBorders>
              <w:bottom w:val="single" w:sz="12" w:space="0" w:color="auto"/>
            </w:tcBorders>
            <w:vAlign w:val="center"/>
          </w:tcPr>
          <w:p w:rsidR="00BA6265" w:rsidRPr="005A4259" w:rsidRDefault="00BA6265" w:rsidP="004032E0">
            <w:pPr>
              <w:jc w:val="center"/>
              <w:rPr>
                <w:sz w:val="20"/>
                <w:szCs w:val="20"/>
              </w:rPr>
            </w:pPr>
            <w:r w:rsidRPr="005A4259">
              <w:rPr>
                <w:sz w:val="20"/>
                <w:szCs w:val="20"/>
              </w:rPr>
              <w:t>9%</w:t>
            </w:r>
          </w:p>
        </w:tc>
        <w:tc>
          <w:tcPr>
            <w:tcW w:w="1745" w:type="dxa"/>
            <w:tcBorders>
              <w:bottom w:val="single" w:sz="12" w:space="0" w:color="auto"/>
            </w:tcBorders>
            <w:vAlign w:val="center"/>
          </w:tcPr>
          <w:p w:rsidR="00BA6265" w:rsidRPr="005A4259" w:rsidRDefault="00BA6265" w:rsidP="004032E0">
            <w:pPr>
              <w:jc w:val="center"/>
              <w:rPr>
                <w:sz w:val="20"/>
                <w:szCs w:val="20"/>
              </w:rPr>
            </w:pPr>
            <w:r w:rsidRPr="005A4259">
              <w:rPr>
                <w:sz w:val="20"/>
                <w:szCs w:val="20"/>
              </w:rPr>
              <w:t>53%</w:t>
            </w:r>
          </w:p>
        </w:tc>
        <w:tc>
          <w:tcPr>
            <w:tcW w:w="1849" w:type="dxa"/>
            <w:tcBorders>
              <w:bottom w:val="single" w:sz="12" w:space="0" w:color="auto"/>
            </w:tcBorders>
            <w:vAlign w:val="center"/>
          </w:tcPr>
          <w:p w:rsidR="00BA6265" w:rsidRPr="005A4259" w:rsidRDefault="00BA6265" w:rsidP="004032E0">
            <w:pPr>
              <w:jc w:val="center"/>
              <w:rPr>
                <w:sz w:val="20"/>
                <w:szCs w:val="20"/>
              </w:rPr>
            </w:pPr>
          </w:p>
        </w:tc>
        <w:tc>
          <w:tcPr>
            <w:tcW w:w="1259" w:type="dxa"/>
            <w:tcBorders>
              <w:bottom w:val="single" w:sz="12" w:space="0" w:color="auto"/>
            </w:tcBorders>
          </w:tcPr>
          <w:p w:rsidR="00BA6265" w:rsidRPr="005A4259" w:rsidRDefault="00BA6265" w:rsidP="004032E0">
            <w:pPr>
              <w:jc w:val="center"/>
              <w:rPr>
                <w:sz w:val="20"/>
                <w:szCs w:val="20"/>
              </w:rPr>
            </w:pPr>
          </w:p>
        </w:tc>
      </w:tr>
      <w:tr w:rsidR="00BA6265" w:rsidTr="005A4259">
        <w:trPr>
          <w:jc w:val="center"/>
        </w:trPr>
        <w:tc>
          <w:tcPr>
            <w:tcW w:w="2774" w:type="dxa"/>
            <w:tcBorders>
              <w:top w:val="single" w:sz="12" w:space="0" w:color="auto"/>
            </w:tcBorders>
          </w:tcPr>
          <w:p w:rsidR="00BA6265" w:rsidRPr="005A4259" w:rsidRDefault="00BA6265" w:rsidP="005A4259">
            <w:pPr>
              <w:rPr>
                <w:sz w:val="20"/>
                <w:szCs w:val="20"/>
              </w:rPr>
            </w:pPr>
          </w:p>
        </w:tc>
        <w:tc>
          <w:tcPr>
            <w:tcW w:w="1559" w:type="dxa"/>
            <w:tcBorders>
              <w:top w:val="single" w:sz="12" w:space="0" w:color="auto"/>
            </w:tcBorders>
            <w:vAlign w:val="center"/>
          </w:tcPr>
          <w:p w:rsidR="00BA6265" w:rsidRPr="004032E0" w:rsidRDefault="00BA6265" w:rsidP="004032E0">
            <w:pPr>
              <w:jc w:val="center"/>
              <w:rPr>
                <w:b/>
                <w:sz w:val="20"/>
                <w:szCs w:val="20"/>
              </w:rPr>
            </w:pPr>
            <w:r w:rsidRPr="004032E0">
              <w:rPr>
                <w:b/>
                <w:sz w:val="20"/>
                <w:szCs w:val="20"/>
              </w:rPr>
              <w:t>415</w:t>
            </w:r>
          </w:p>
        </w:tc>
        <w:tc>
          <w:tcPr>
            <w:tcW w:w="1745" w:type="dxa"/>
            <w:tcBorders>
              <w:top w:val="single" w:sz="12" w:space="0" w:color="auto"/>
            </w:tcBorders>
            <w:vAlign w:val="center"/>
          </w:tcPr>
          <w:p w:rsidR="00BA6265" w:rsidRPr="004032E0" w:rsidRDefault="00BA6265" w:rsidP="004032E0">
            <w:pPr>
              <w:jc w:val="center"/>
              <w:rPr>
                <w:b/>
                <w:sz w:val="20"/>
                <w:szCs w:val="20"/>
              </w:rPr>
            </w:pPr>
            <w:r w:rsidRPr="004032E0">
              <w:rPr>
                <w:b/>
                <w:sz w:val="20"/>
                <w:szCs w:val="20"/>
              </w:rPr>
              <w:t>95</w:t>
            </w:r>
          </w:p>
        </w:tc>
        <w:tc>
          <w:tcPr>
            <w:tcW w:w="1849" w:type="dxa"/>
            <w:tcBorders>
              <w:top w:val="single" w:sz="12" w:space="0" w:color="auto"/>
            </w:tcBorders>
            <w:vAlign w:val="center"/>
          </w:tcPr>
          <w:p w:rsidR="00BA6265" w:rsidRPr="005A4259" w:rsidRDefault="00BA6265" w:rsidP="004032E0">
            <w:pPr>
              <w:jc w:val="center"/>
              <w:rPr>
                <w:sz w:val="20"/>
                <w:szCs w:val="20"/>
              </w:rPr>
            </w:pPr>
          </w:p>
        </w:tc>
        <w:tc>
          <w:tcPr>
            <w:tcW w:w="1259" w:type="dxa"/>
            <w:tcBorders>
              <w:top w:val="single" w:sz="12" w:space="0" w:color="auto"/>
            </w:tcBorders>
          </w:tcPr>
          <w:p w:rsidR="00BA6265" w:rsidRPr="005A4259" w:rsidRDefault="00BA6265" w:rsidP="004032E0">
            <w:pPr>
              <w:jc w:val="center"/>
              <w:rPr>
                <w:sz w:val="20"/>
                <w:szCs w:val="20"/>
              </w:rPr>
            </w:pPr>
          </w:p>
        </w:tc>
      </w:tr>
      <w:tr w:rsidR="00BA6265" w:rsidTr="005A4259">
        <w:trPr>
          <w:jc w:val="center"/>
        </w:trPr>
        <w:tc>
          <w:tcPr>
            <w:tcW w:w="2774" w:type="dxa"/>
            <w:tcBorders>
              <w:bottom w:val="single" w:sz="12" w:space="0" w:color="auto"/>
            </w:tcBorders>
          </w:tcPr>
          <w:p w:rsidR="00BA6265" w:rsidRPr="005A4259" w:rsidRDefault="00BA6265" w:rsidP="005A4259">
            <w:pPr>
              <w:rPr>
                <w:sz w:val="20"/>
                <w:szCs w:val="20"/>
              </w:rPr>
            </w:pPr>
            <w:r w:rsidRPr="005A4259">
              <w:rPr>
                <w:sz w:val="20"/>
                <w:szCs w:val="20"/>
              </w:rPr>
              <w:t>male</w:t>
            </w:r>
          </w:p>
        </w:tc>
        <w:tc>
          <w:tcPr>
            <w:tcW w:w="1559" w:type="dxa"/>
            <w:tcBorders>
              <w:bottom w:val="single" w:sz="12" w:space="0" w:color="auto"/>
            </w:tcBorders>
            <w:vAlign w:val="center"/>
          </w:tcPr>
          <w:p w:rsidR="00BA6265" w:rsidRPr="005A4259" w:rsidRDefault="00BA6265" w:rsidP="004032E0">
            <w:pPr>
              <w:jc w:val="center"/>
              <w:rPr>
                <w:sz w:val="20"/>
                <w:szCs w:val="20"/>
              </w:rPr>
            </w:pPr>
            <w:r w:rsidRPr="005A4259">
              <w:rPr>
                <w:sz w:val="20"/>
                <w:szCs w:val="20"/>
              </w:rPr>
              <w:t>50%</w:t>
            </w:r>
          </w:p>
        </w:tc>
        <w:tc>
          <w:tcPr>
            <w:tcW w:w="1745" w:type="dxa"/>
            <w:tcBorders>
              <w:bottom w:val="single" w:sz="12" w:space="0" w:color="auto"/>
            </w:tcBorders>
            <w:vAlign w:val="center"/>
          </w:tcPr>
          <w:p w:rsidR="00BA6265" w:rsidRPr="005A4259" w:rsidRDefault="00BA6265" w:rsidP="004032E0">
            <w:pPr>
              <w:jc w:val="center"/>
              <w:rPr>
                <w:sz w:val="20"/>
                <w:szCs w:val="20"/>
              </w:rPr>
            </w:pPr>
            <w:r w:rsidRPr="005A4259">
              <w:rPr>
                <w:sz w:val="20"/>
                <w:szCs w:val="20"/>
              </w:rPr>
              <w:t>44%</w:t>
            </w:r>
          </w:p>
        </w:tc>
        <w:tc>
          <w:tcPr>
            <w:tcW w:w="1849" w:type="dxa"/>
            <w:tcBorders>
              <w:bottom w:val="single" w:sz="12" w:space="0" w:color="auto"/>
            </w:tcBorders>
            <w:vAlign w:val="center"/>
          </w:tcPr>
          <w:p w:rsidR="00BA6265" w:rsidRPr="005A4259" w:rsidRDefault="00BA6265" w:rsidP="004032E0">
            <w:pPr>
              <w:jc w:val="center"/>
              <w:rPr>
                <w:sz w:val="20"/>
                <w:szCs w:val="20"/>
              </w:rPr>
            </w:pPr>
          </w:p>
        </w:tc>
        <w:tc>
          <w:tcPr>
            <w:tcW w:w="1259" w:type="dxa"/>
            <w:tcBorders>
              <w:bottom w:val="single" w:sz="12" w:space="0" w:color="auto"/>
            </w:tcBorders>
          </w:tcPr>
          <w:p w:rsidR="00BA6265" w:rsidRPr="005A4259" w:rsidRDefault="00BA6265" w:rsidP="004032E0">
            <w:pPr>
              <w:jc w:val="center"/>
              <w:rPr>
                <w:sz w:val="20"/>
                <w:szCs w:val="20"/>
              </w:rPr>
            </w:pPr>
          </w:p>
        </w:tc>
      </w:tr>
      <w:tr w:rsidR="00BA6265" w:rsidRPr="000678F2" w:rsidTr="005A4259">
        <w:trPr>
          <w:trHeight w:val="225"/>
          <w:jc w:val="center"/>
        </w:trPr>
        <w:tc>
          <w:tcPr>
            <w:tcW w:w="2774" w:type="dxa"/>
            <w:tcBorders>
              <w:top w:val="single" w:sz="12" w:space="0" w:color="auto"/>
              <w:bottom w:val="single" w:sz="2" w:space="0" w:color="auto"/>
            </w:tcBorders>
          </w:tcPr>
          <w:p w:rsidR="00BA6265" w:rsidRPr="005A4259" w:rsidRDefault="00BA6265" w:rsidP="005A4259">
            <w:pPr>
              <w:rPr>
                <w:b/>
                <w:sz w:val="20"/>
                <w:szCs w:val="20"/>
              </w:rPr>
            </w:pPr>
            <w:r w:rsidRPr="005A4259">
              <w:rPr>
                <w:b/>
                <w:sz w:val="20"/>
                <w:szCs w:val="20"/>
              </w:rPr>
              <w:t>Other health measures</w:t>
            </w:r>
          </w:p>
        </w:tc>
        <w:tc>
          <w:tcPr>
            <w:tcW w:w="1559" w:type="dxa"/>
            <w:tcBorders>
              <w:top w:val="single" w:sz="12" w:space="0" w:color="auto"/>
              <w:bottom w:val="single" w:sz="2" w:space="0" w:color="auto"/>
            </w:tcBorders>
            <w:vAlign w:val="center"/>
          </w:tcPr>
          <w:p w:rsidR="00BA6265" w:rsidRPr="005A4259" w:rsidRDefault="00BA6265" w:rsidP="004032E0">
            <w:pPr>
              <w:jc w:val="center"/>
              <w:rPr>
                <w:b/>
                <w:sz w:val="20"/>
                <w:szCs w:val="20"/>
              </w:rPr>
            </w:pPr>
          </w:p>
        </w:tc>
        <w:tc>
          <w:tcPr>
            <w:tcW w:w="1745" w:type="dxa"/>
            <w:tcBorders>
              <w:top w:val="single" w:sz="12" w:space="0" w:color="auto"/>
              <w:bottom w:val="single" w:sz="2" w:space="0" w:color="auto"/>
            </w:tcBorders>
            <w:vAlign w:val="center"/>
          </w:tcPr>
          <w:p w:rsidR="00BA6265" w:rsidRPr="005A4259" w:rsidRDefault="00BA6265" w:rsidP="004032E0">
            <w:pPr>
              <w:jc w:val="center"/>
              <w:rPr>
                <w:b/>
                <w:sz w:val="20"/>
                <w:szCs w:val="20"/>
              </w:rPr>
            </w:pPr>
          </w:p>
        </w:tc>
        <w:tc>
          <w:tcPr>
            <w:tcW w:w="1849" w:type="dxa"/>
            <w:tcBorders>
              <w:top w:val="single" w:sz="12" w:space="0" w:color="auto"/>
              <w:bottom w:val="single" w:sz="2" w:space="0" w:color="auto"/>
            </w:tcBorders>
            <w:vAlign w:val="center"/>
          </w:tcPr>
          <w:p w:rsidR="00BA6265" w:rsidRPr="005A4259" w:rsidRDefault="00BA6265" w:rsidP="004032E0">
            <w:pPr>
              <w:jc w:val="center"/>
              <w:rPr>
                <w:b/>
                <w:sz w:val="20"/>
                <w:szCs w:val="20"/>
              </w:rPr>
            </w:pPr>
          </w:p>
        </w:tc>
        <w:tc>
          <w:tcPr>
            <w:tcW w:w="1259" w:type="dxa"/>
            <w:tcBorders>
              <w:top w:val="single" w:sz="12" w:space="0" w:color="auto"/>
              <w:bottom w:val="single" w:sz="2" w:space="0" w:color="auto"/>
            </w:tcBorders>
          </w:tcPr>
          <w:p w:rsidR="00BA6265" w:rsidRPr="005A4259" w:rsidRDefault="00BA6265" w:rsidP="004032E0">
            <w:pPr>
              <w:jc w:val="center"/>
              <w:rPr>
                <w:b/>
                <w:sz w:val="20"/>
                <w:szCs w:val="20"/>
              </w:rPr>
            </w:pPr>
          </w:p>
        </w:tc>
      </w:tr>
      <w:tr w:rsidR="00BA6265" w:rsidRPr="000678F2" w:rsidTr="005A4259">
        <w:trPr>
          <w:trHeight w:val="255"/>
          <w:jc w:val="center"/>
        </w:trPr>
        <w:tc>
          <w:tcPr>
            <w:tcW w:w="2774" w:type="dxa"/>
            <w:tcBorders>
              <w:top w:val="single" w:sz="2" w:space="0" w:color="auto"/>
              <w:bottom w:val="single" w:sz="2" w:space="0" w:color="auto"/>
            </w:tcBorders>
          </w:tcPr>
          <w:p w:rsidR="00BA6265" w:rsidRPr="005A4259" w:rsidRDefault="00BA6265" w:rsidP="005A4259">
            <w:pPr>
              <w:rPr>
                <w:b/>
                <w:sz w:val="20"/>
                <w:szCs w:val="20"/>
              </w:rPr>
            </w:pPr>
            <w:r w:rsidRPr="005A4259">
              <w:rPr>
                <w:b/>
                <w:sz w:val="20"/>
                <w:szCs w:val="20"/>
              </w:rPr>
              <w:t>n</w:t>
            </w:r>
          </w:p>
        </w:tc>
        <w:tc>
          <w:tcPr>
            <w:tcW w:w="1559" w:type="dxa"/>
            <w:tcBorders>
              <w:top w:val="single" w:sz="2" w:space="0" w:color="auto"/>
              <w:bottom w:val="single" w:sz="2" w:space="0" w:color="auto"/>
            </w:tcBorders>
            <w:vAlign w:val="center"/>
          </w:tcPr>
          <w:p w:rsidR="00BA6265" w:rsidRPr="005A4259" w:rsidRDefault="00BA6265" w:rsidP="004032E0">
            <w:pPr>
              <w:jc w:val="center"/>
              <w:rPr>
                <w:b/>
                <w:sz w:val="20"/>
                <w:szCs w:val="20"/>
              </w:rPr>
            </w:pPr>
            <w:r w:rsidRPr="005A4259">
              <w:rPr>
                <w:b/>
                <w:sz w:val="20"/>
                <w:szCs w:val="20"/>
              </w:rPr>
              <w:t>411</w:t>
            </w:r>
          </w:p>
        </w:tc>
        <w:tc>
          <w:tcPr>
            <w:tcW w:w="1745" w:type="dxa"/>
            <w:tcBorders>
              <w:top w:val="single" w:sz="2" w:space="0" w:color="auto"/>
              <w:bottom w:val="single" w:sz="2" w:space="0" w:color="auto"/>
            </w:tcBorders>
            <w:vAlign w:val="center"/>
          </w:tcPr>
          <w:p w:rsidR="00BA6265" w:rsidRPr="005A4259" w:rsidRDefault="00BA6265" w:rsidP="004032E0">
            <w:pPr>
              <w:jc w:val="center"/>
              <w:rPr>
                <w:b/>
                <w:sz w:val="20"/>
                <w:szCs w:val="20"/>
              </w:rPr>
            </w:pPr>
            <w:r w:rsidRPr="005A4259">
              <w:rPr>
                <w:b/>
                <w:sz w:val="20"/>
                <w:szCs w:val="20"/>
              </w:rPr>
              <w:t>94</w:t>
            </w:r>
          </w:p>
        </w:tc>
        <w:tc>
          <w:tcPr>
            <w:tcW w:w="1849" w:type="dxa"/>
            <w:tcBorders>
              <w:top w:val="single" w:sz="2" w:space="0" w:color="auto"/>
              <w:bottom w:val="single" w:sz="2" w:space="0" w:color="auto"/>
            </w:tcBorders>
            <w:vAlign w:val="center"/>
          </w:tcPr>
          <w:p w:rsidR="00BA6265" w:rsidRPr="005A4259" w:rsidRDefault="00BA6265" w:rsidP="004032E0">
            <w:pPr>
              <w:jc w:val="center"/>
              <w:rPr>
                <w:b/>
                <w:sz w:val="20"/>
                <w:szCs w:val="20"/>
              </w:rPr>
            </w:pPr>
          </w:p>
        </w:tc>
        <w:tc>
          <w:tcPr>
            <w:tcW w:w="1259" w:type="dxa"/>
            <w:tcBorders>
              <w:top w:val="single" w:sz="2" w:space="0" w:color="auto"/>
              <w:bottom w:val="single" w:sz="2" w:space="0" w:color="auto"/>
            </w:tcBorders>
          </w:tcPr>
          <w:p w:rsidR="00BA6265" w:rsidRPr="005A4259" w:rsidRDefault="00BA6265" w:rsidP="004032E0">
            <w:pPr>
              <w:jc w:val="center"/>
              <w:rPr>
                <w:b/>
                <w:sz w:val="20"/>
                <w:szCs w:val="20"/>
              </w:rPr>
            </w:pPr>
          </w:p>
        </w:tc>
      </w:tr>
      <w:tr w:rsidR="00BA6265" w:rsidRPr="00C3676E" w:rsidTr="005A4259">
        <w:trPr>
          <w:trHeight w:val="255"/>
          <w:jc w:val="center"/>
        </w:trPr>
        <w:tc>
          <w:tcPr>
            <w:tcW w:w="2774" w:type="dxa"/>
            <w:tcBorders>
              <w:top w:val="single" w:sz="2" w:space="0" w:color="auto"/>
              <w:bottom w:val="single" w:sz="2" w:space="0" w:color="auto"/>
            </w:tcBorders>
          </w:tcPr>
          <w:p w:rsidR="00BA6265" w:rsidRPr="005A4259" w:rsidRDefault="00BA6265" w:rsidP="005A4259">
            <w:pPr>
              <w:rPr>
                <w:sz w:val="20"/>
                <w:szCs w:val="20"/>
              </w:rPr>
            </w:pPr>
            <w:r w:rsidRPr="005A4259">
              <w:rPr>
                <w:sz w:val="20"/>
                <w:szCs w:val="20"/>
              </w:rPr>
              <w:t>Any cough</w:t>
            </w:r>
          </w:p>
        </w:tc>
        <w:tc>
          <w:tcPr>
            <w:tcW w:w="1559" w:type="dxa"/>
            <w:tcBorders>
              <w:top w:val="single" w:sz="2" w:space="0" w:color="auto"/>
              <w:bottom w:val="single" w:sz="2" w:space="0" w:color="auto"/>
            </w:tcBorders>
            <w:vAlign w:val="center"/>
          </w:tcPr>
          <w:p w:rsidR="00BA6265" w:rsidRPr="005A4259" w:rsidRDefault="00BA6265" w:rsidP="004032E0">
            <w:pPr>
              <w:jc w:val="center"/>
              <w:rPr>
                <w:sz w:val="20"/>
                <w:szCs w:val="20"/>
              </w:rPr>
            </w:pPr>
            <w:r w:rsidRPr="005A4259">
              <w:rPr>
                <w:sz w:val="20"/>
                <w:szCs w:val="20"/>
              </w:rPr>
              <w:t>17%</w:t>
            </w:r>
          </w:p>
        </w:tc>
        <w:tc>
          <w:tcPr>
            <w:tcW w:w="1745" w:type="dxa"/>
            <w:tcBorders>
              <w:top w:val="single" w:sz="2" w:space="0" w:color="auto"/>
              <w:bottom w:val="single" w:sz="2" w:space="0" w:color="auto"/>
            </w:tcBorders>
            <w:vAlign w:val="center"/>
          </w:tcPr>
          <w:p w:rsidR="00BA6265" w:rsidRPr="005A4259" w:rsidRDefault="00BA6265" w:rsidP="004032E0">
            <w:pPr>
              <w:jc w:val="center"/>
              <w:rPr>
                <w:sz w:val="20"/>
                <w:szCs w:val="20"/>
              </w:rPr>
            </w:pPr>
            <w:r w:rsidRPr="005A4259">
              <w:rPr>
                <w:sz w:val="20"/>
                <w:szCs w:val="20"/>
              </w:rPr>
              <w:t>20%</w:t>
            </w:r>
          </w:p>
        </w:tc>
        <w:tc>
          <w:tcPr>
            <w:tcW w:w="1849" w:type="dxa"/>
            <w:tcBorders>
              <w:top w:val="single" w:sz="2" w:space="0" w:color="auto"/>
              <w:bottom w:val="single" w:sz="2" w:space="0" w:color="auto"/>
            </w:tcBorders>
            <w:vAlign w:val="center"/>
          </w:tcPr>
          <w:p w:rsidR="00BA6265" w:rsidRPr="005A4259" w:rsidRDefault="00BA6265" w:rsidP="004032E0">
            <w:pPr>
              <w:jc w:val="center"/>
              <w:rPr>
                <w:sz w:val="20"/>
                <w:szCs w:val="20"/>
              </w:rPr>
            </w:pPr>
          </w:p>
        </w:tc>
        <w:tc>
          <w:tcPr>
            <w:tcW w:w="1259" w:type="dxa"/>
            <w:tcBorders>
              <w:top w:val="single" w:sz="2" w:space="0" w:color="auto"/>
              <w:bottom w:val="single" w:sz="2" w:space="0" w:color="auto"/>
            </w:tcBorders>
          </w:tcPr>
          <w:p w:rsidR="00BA6265" w:rsidRPr="005A4259" w:rsidRDefault="00BA6265" w:rsidP="004032E0">
            <w:pPr>
              <w:jc w:val="center"/>
              <w:rPr>
                <w:sz w:val="20"/>
                <w:szCs w:val="20"/>
              </w:rPr>
            </w:pPr>
          </w:p>
        </w:tc>
      </w:tr>
      <w:tr w:rsidR="00BA6265" w:rsidRPr="004032E0" w:rsidTr="005A4259">
        <w:trPr>
          <w:jc w:val="center"/>
        </w:trPr>
        <w:tc>
          <w:tcPr>
            <w:tcW w:w="2774" w:type="dxa"/>
            <w:tcBorders>
              <w:top w:val="single" w:sz="2" w:space="0" w:color="auto"/>
              <w:bottom w:val="single" w:sz="2" w:space="0" w:color="auto"/>
            </w:tcBorders>
          </w:tcPr>
          <w:p w:rsidR="00BA6265" w:rsidRPr="005A4259" w:rsidRDefault="00BA6265" w:rsidP="005A4259">
            <w:pPr>
              <w:rPr>
                <w:sz w:val="20"/>
                <w:szCs w:val="20"/>
              </w:rPr>
            </w:pPr>
            <w:r w:rsidRPr="005A4259">
              <w:rPr>
                <w:sz w:val="20"/>
                <w:szCs w:val="20"/>
              </w:rPr>
              <w:t>Runny nose</w:t>
            </w:r>
          </w:p>
        </w:tc>
        <w:tc>
          <w:tcPr>
            <w:tcW w:w="1559" w:type="dxa"/>
            <w:tcBorders>
              <w:top w:val="single" w:sz="2" w:space="0" w:color="auto"/>
              <w:bottom w:val="single" w:sz="2" w:space="0" w:color="auto"/>
            </w:tcBorders>
            <w:vAlign w:val="center"/>
          </w:tcPr>
          <w:p w:rsidR="00BA6265" w:rsidRPr="005A4259" w:rsidRDefault="00BA6265" w:rsidP="004032E0">
            <w:pPr>
              <w:jc w:val="center"/>
              <w:rPr>
                <w:sz w:val="20"/>
                <w:szCs w:val="20"/>
              </w:rPr>
            </w:pPr>
            <w:r w:rsidRPr="005A4259">
              <w:rPr>
                <w:sz w:val="20"/>
                <w:szCs w:val="20"/>
              </w:rPr>
              <w:t>29%</w:t>
            </w:r>
          </w:p>
          <w:p w:rsidR="00BA6265" w:rsidRPr="005A4259" w:rsidRDefault="00BA6265" w:rsidP="004032E0">
            <w:pPr>
              <w:jc w:val="center"/>
              <w:rPr>
                <w:sz w:val="20"/>
                <w:szCs w:val="20"/>
              </w:rPr>
            </w:pPr>
            <w:r w:rsidRPr="005A4259">
              <w:rPr>
                <w:sz w:val="20"/>
                <w:szCs w:val="20"/>
              </w:rPr>
              <w:t>[25 to 34]</w:t>
            </w:r>
          </w:p>
        </w:tc>
        <w:tc>
          <w:tcPr>
            <w:tcW w:w="1745" w:type="dxa"/>
            <w:tcBorders>
              <w:top w:val="single" w:sz="2" w:space="0" w:color="auto"/>
              <w:bottom w:val="single" w:sz="2" w:space="0" w:color="auto"/>
            </w:tcBorders>
            <w:vAlign w:val="center"/>
          </w:tcPr>
          <w:p w:rsidR="00BA6265" w:rsidRPr="005A4259" w:rsidRDefault="00BA6265" w:rsidP="004032E0">
            <w:pPr>
              <w:jc w:val="center"/>
              <w:rPr>
                <w:sz w:val="20"/>
                <w:szCs w:val="20"/>
              </w:rPr>
            </w:pPr>
            <w:r w:rsidRPr="005A4259">
              <w:rPr>
                <w:sz w:val="20"/>
                <w:szCs w:val="20"/>
              </w:rPr>
              <w:t>44%</w:t>
            </w:r>
          </w:p>
          <w:p w:rsidR="00BA6265" w:rsidRPr="005A4259" w:rsidRDefault="00BA6265" w:rsidP="004032E0">
            <w:pPr>
              <w:jc w:val="center"/>
              <w:rPr>
                <w:sz w:val="20"/>
                <w:szCs w:val="20"/>
              </w:rPr>
            </w:pPr>
            <w:r w:rsidRPr="005A4259">
              <w:rPr>
                <w:sz w:val="20"/>
                <w:szCs w:val="20"/>
              </w:rPr>
              <w:t>[34 to 54]</w:t>
            </w:r>
          </w:p>
        </w:tc>
        <w:tc>
          <w:tcPr>
            <w:tcW w:w="1849" w:type="dxa"/>
            <w:tcBorders>
              <w:top w:val="single" w:sz="2" w:space="0" w:color="auto"/>
              <w:bottom w:val="single" w:sz="2" w:space="0" w:color="auto"/>
            </w:tcBorders>
            <w:vAlign w:val="center"/>
          </w:tcPr>
          <w:p w:rsidR="00BA6265" w:rsidRPr="005A4259" w:rsidRDefault="00BA6265" w:rsidP="004032E0">
            <w:pPr>
              <w:jc w:val="center"/>
              <w:rPr>
                <w:sz w:val="20"/>
                <w:szCs w:val="20"/>
              </w:rPr>
            </w:pPr>
            <w:r w:rsidRPr="005A4259">
              <w:rPr>
                <w:sz w:val="20"/>
                <w:szCs w:val="20"/>
              </w:rPr>
              <w:t>15%</w:t>
            </w:r>
          </w:p>
          <w:p w:rsidR="00BA6265" w:rsidRPr="005A4259" w:rsidRDefault="00BA6265" w:rsidP="004032E0">
            <w:pPr>
              <w:jc w:val="center"/>
              <w:rPr>
                <w:sz w:val="20"/>
                <w:szCs w:val="20"/>
              </w:rPr>
            </w:pPr>
            <w:r w:rsidRPr="005A4259">
              <w:rPr>
                <w:sz w:val="20"/>
                <w:szCs w:val="20"/>
              </w:rPr>
              <w:t>[4 to 26]</w:t>
            </w:r>
          </w:p>
        </w:tc>
        <w:tc>
          <w:tcPr>
            <w:tcW w:w="1259" w:type="dxa"/>
            <w:tcBorders>
              <w:top w:val="single" w:sz="2" w:space="0" w:color="auto"/>
              <w:bottom w:val="single" w:sz="2" w:space="0" w:color="auto"/>
            </w:tcBorders>
          </w:tcPr>
          <w:p w:rsidR="00BA6265" w:rsidRPr="004032E0" w:rsidRDefault="00BA6265" w:rsidP="004032E0">
            <w:pPr>
              <w:jc w:val="center"/>
              <w:rPr>
                <w:sz w:val="20"/>
                <w:szCs w:val="20"/>
              </w:rPr>
            </w:pPr>
            <w:r w:rsidRPr="004032E0">
              <w:rPr>
                <w:sz w:val="20"/>
                <w:szCs w:val="20"/>
              </w:rPr>
              <w:t>p=0.007</w:t>
            </w:r>
          </w:p>
        </w:tc>
      </w:tr>
      <w:tr w:rsidR="00BA6265" w:rsidRPr="00C3676E" w:rsidTr="005A4259">
        <w:trPr>
          <w:jc w:val="center"/>
        </w:trPr>
        <w:tc>
          <w:tcPr>
            <w:tcW w:w="2774" w:type="dxa"/>
            <w:tcBorders>
              <w:top w:val="single" w:sz="2" w:space="0" w:color="auto"/>
              <w:bottom w:val="single" w:sz="2" w:space="0" w:color="auto"/>
            </w:tcBorders>
          </w:tcPr>
          <w:p w:rsidR="00BA6265" w:rsidRPr="005A4259" w:rsidRDefault="00BA6265" w:rsidP="005A4259">
            <w:pPr>
              <w:rPr>
                <w:sz w:val="20"/>
                <w:szCs w:val="20"/>
              </w:rPr>
            </w:pPr>
            <w:r w:rsidRPr="005A4259">
              <w:rPr>
                <w:sz w:val="20"/>
                <w:szCs w:val="20"/>
              </w:rPr>
              <w:t>Any skin condition</w:t>
            </w:r>
          </w:p>
        </w:tc>
        <w:tc>
          <w:tcPr>
            <w:tcW w:w="1559" w:type="dxa"/>
            <w:tcBorders>
              <w:top w:val="single" w:sz="2" w:space="0" w:color="auto"/>
              <w:bottom w:val="single" w:sz="2" w:space="0" w:color="auto"/>
            </w:tcBorders>
            <w:vAlign w:val="center"/>
          </w:tcPr>
          <w:p w:rsidR="00BA6265" w:rsidRPr="005A4259" w:rsidRDefault="00BA6265" w:rsidP="004032E0">
            <w:pPr>
              <w:jc w:val="center"/>
              <w:rPr>
                <w:sz w:val="20"/>
                <w:szCs w:val="20"/>
              </w:rPr>
            </w:pPr>
            <w:r w:rsidRPr="005A4259">
              <w:rPr>
                <w:sz w:val="20"/>
                <w:szCs w:val="20"/>
              </w:rPr>
              <w:t>16%</w:t>
            </w:r>
          </w:p>
        </w:tc>
        <w:tc>
          <w:tcPr>
            <w:tcW w:w="1745" w:type="dxa"/>
            <w:tcBorders>
              <w:top w:val="single" w:sz="2" w:space="0" w:color="auto"/>
              <w:bottom w:val="single" w:sz="2" w:space="0" w:color="auto"/>
            </w:tcBorders>
            <w:vAlign w:val="center"/>
          </w:tcPr>
          <w:p w:rsidR="00BA6265" w:rsidRPr="005A4259" w:rsidRDefault="00BA6265" w:rsidP="004032E0">
            <w:pPr>
              <w:jc w:val="center"/>
              <w:rPr>
                <w:sz w:val="20"/>
                <w:szCs w:val="20"/>
              </w:rPr>
            </w:pPr>
            <w:r w:rsidRPr="005A4259">
              <w:rPr>
                <w:sz w:val="20"/>
                <w:szCs w:val="20"/>
              </w:rPr>
              <w:t>23%</w:t>
            </w:r>
          </w:p>
        </w:tc>
        <w:tc>
          <w:tcPr>
            <w:tcW w:w="1849" w:type="dxa"/>
            <w:tcBorders>
              <w:top w:val="single" w:sz="2" w:space="0" w:color="auto"/>
              <w:bottom w:val="single" w:sz="2" w:space="0" w:color="auto"/>
            </w:tcBorders>
            <w:vAlign w:val="center"/>
          </w:tcPr>
          <w:p w:rsidR="00BA6265" w:rsidRPr="005A4259" w:rsidRDefault="00BA6265" w:rsidP="004032E0">
            <w:pPr>
              <w:jc w:val="center"/>
              <w:rPr>
                <w:sz w:val="20"/>
                <w:szCs w:val="20"/>
              </w:rPr>
            </w:pPr>
          </w:p>
        </w:tc>
        <w:tc>
          <w:tcPr>
            <w:tcW w:w="1259" w:type="dxa"/>
            <w:tcBorders>
              <w:top w:val="single" w:sz="2" w:space="0" w:color="auto"/>
              <w:bottom w:val="single" w:sz="2" w:space="0" w:color="auto"/>
            </w:tcBorders>
          </w:tcPr>
          <w:p w:rsidR="00BA6265" w:rsidRPr="005A4259" w:rsidRDefault="00BA6265" w:rsidP="004032E0">
            <w:pPr>
              <w:jc w:val="center"/>
              <w:rPr>
                <w:sz w:val="20"/>
                <w:szCs w:val="20"/>
              </w:rPr>
            </w:pPr>
          </w:p>
        </w:tc>
      </w:tr>
      <w:tr w:rsidR="00BA6265" w:rsidRPr="000678F2" w:rsidTr="005A4259">
        <w:trPr>
          <w:jc w:val="center"/>
        </w:trPr>
        <w:tc>
          <w:tcPr>
            <w:tcW w:w="2774" w:type="dxa"/>
            <w:tcBorders>
              <w:top w:val="single" w:sz="12" w:space="0" w:color="auto"/>
            </w:tcBorders>
          </w:tcPr>
          <w:p w:rsidR="00BA6265" w:rsidRPr="005A4259" w:rsidRDefault="00BA6265" w:rsidP="005A4259">
            <w:pPr>
              <w:rPr>
                <w:b/>
                <w:sz w:val="20"/>
                <w:szCs w:val="20"/>
              </w:rPr>
            </w:pPr>
            <w:r w:rsidRPr="005A4259">
              <w:rPr>
                <w:b/>
                <w:sz w:val="20"/>
                <w:szCs w:val="20"/>
              </w:rPr>
              <w:t xml:space="preserve">Risk factors </w:t>
            </w:r>
          </w:p>
        </w:tc>
        <w:tc>
          <w:tcPr>
            <w:tcW w:w="1559" w:type="dxa"/>
            <w:tcBorders>
              <w:top w:val="single" w:sz="12" w:space="0" w:color="auto"/>
            </w:tcBorders>
            <w:vAlign w:val="center"/>
          </w:tcPr>
          <w:p w:rsidR="00BA6265" w:rsidRPr="005A4259" w:rsidRDefault="00BA6265" w:rsidP="004032E0">
            <w:pPr>
              <w:jc w:val="center"/>
              <w:rPr>
                <w:b/>
                <w:sz w:val="20"/>
                <w:szCs w:val="20"/>
              </w:rPr>
            </w:pPr>
          </w:p>
        </w:tc>
        <w:tc>
          <w:tcPr>
            <w:tcW w:w="1745" w:type="dxa"/>
            <w:tcBorders>
              <w:top w:val="single" w:sz="12" w:space="0" w:color="auto"/>
            </w:tcBorders>
            <w:vAlign w:val="center"/>
          </w:tcPr>
          <w:p w:rsidR="00BA6265" w:rsidRPr="005A4259" w:rsidRDefault="00BA6265" w:rsidP="004032E0">
            <w:pPr>
              <w:jc w:val="center"/>
              <w:rPr>
                <w:b/>
                <w:sz w:val="20"/>
                <w:szCs w:val="20"/>
              </w:rPr>
            </w:pPr>
          </w:p>
        </w:tc>
        <w:tc>
          <w:tcPr>
            <w:tcW w:w="1849" w:type="dxa"/>
            <w:tcBorders>
              <w:top w:val="single" w:sz="12" w:space="0" w:color="auto"/>
            </w:tcBorders>
            <w:vAlign w:val="center"/>
          </w:tcPr>
          <w:p w:rsidR="00BA6265" w:rsidRPr="005A4259" w:rsidRDefault="00BA6265" w:rsidP="004032E0">
            <w:pPr>
              <w:jc w:val="center"/>
              <w:rPr>
                <w:b/>
                <w:sz w:val="20"/>
                <w:szCs w:val="20"/>
              </w:rPr>
            </w:pPr>
          </w:p>
        </w:tc>
        <w:tc>
          <w:tcPr>
            <w:tcW w:w="1259" w:type="dxa"/>
            <w:tcBorders>
              <w:top w:val="single" w:sz="12" w:space="0" w:color="auto"/>
            </w:tcBorders>
          </w:tcPr>
          <w:p w:rsidR="00BA6265" w:rsidRPr="005A4259" w:rsidRDefault="00BA6265" w:rsidP="004032E0">
            <w:pPr>
              <w:jc w:val="center"/>
              <w:rPr>
                <w:b/>
                <w:sz w:val="20"/>
                <w:szCs w:val="20"/>
              </w:rPr>
            </w:pPr>
          </w:p>
        </w:tc>
      </w:tr>
      <w:tr w:rsidR="00BA6265" w:rsidRPr="00400F04" w:rsidTr="005A4259">
        <w:trPr>
          <w:jc w:val="center"/>
        </w:trPr>
        <w:tc>
          <w:tcPr>
            <w:tcW w:w="2774" w:type="dxa"/>
            <w:vAlign w:val="center"/>
          </w:tcPr>
          <w:p w:rsidR="00BA6265" w:rsidRPr="005A4259" w:rsidRDefault="00BA6265" w:rsidP="005A4259">
            <w:pPr>
              <w:rPr>
                <w:b/>
                <w:sz w:val="20"/>
                <w:szCs w:val="20"/>
              </w:rPr>
            </w:pPr>
            <w:r w:rsidRPr="005A4259">
              <w:rPr>
                <w:b/>
                <w:sz w:val="20"/>
                <w:szCs w:val="20"/>
              </w:rPr>
              <w:t>n</w:t>
            </w:r>
          </w:p>
        </w:tc>
        <w:tc>
          <w:tcPr>
            <w:tcW w:w="1559" w:type="dxa"/>
            <w:vAlign w:val="center"/>
          </w:tcPr>
          <w:p w:rsidR="00BA6265" w:rsidRPr="005A4259" w:rsidRDefault="00BA6265" w:rsidP="004032E0">
            <w:pPr>
              <w:jc w:val="center"/>
              <w:rPr>
                <w:b/>
                <w:sz w:val="20"/>
                <w:szCs w:val="20"/>
              </w:rPr>
            </w:pPr>
            <w:r w:rsidRPr="005A4259">
              <w:rPr>
                <w:b/>
                <w:sz w:val="20"/>
                <w:szCs w:val="20"/>
              </w:rPr>
              <w:t>400</w:t>
            </w:r>
          </w:p>
        </w:tc>
        <w:tc>
          <w:tcPr>
            <w:tcW w:w="1745" w:type="dxa"/>
            <w:vAlign w:val="center"/>
          </w:tcPr>
          <w:p w:rsidR="00BA6265" w:rsidRPr="005A4259" w:rsidRDefault="00BA6265" w:rsidP="004032E0">
            <w:pPr>
              <w:jc w:val="center"/>
              <w:rPr>
                <w:b/>
                <w:sz w:val="20"/>
                <w:szCs w:val="20"/>
              </w:rPr>
            </w:pPr>
            <w:r w:rsidRPr="005A4259">
              <w:rPr>
                <w:b/>
                <w:sz w:val="20"/>
                <w:szCs w:val="20"/>
              </w:rPr>
              <w:t>93</w:t>
            </w:r>
          </w:p>
        </w:tc>
        <w:tc>
          <w:tcPr>
            <w:tcW w:w="1849" w:type="dxa"/>
            <w:vAlign w:val="center"/>
          </w:tcPr>
          <w:p w:rsidR="00BA6265" w:rsidRPr="005A4259" w:rsidRDefault="00BA6265" w:rsidP="004032E0">
            <w:pPr>
              <w:jc w:val="center"/>
              <w:rPr>
                <w:b/>
                <w:sz w:val="20"/>
                <w:szCs w:val="20"/>
              </w:rPr>
            </w:pPr>
          </w:p>
        </w:tc>
        <w:tc>
          <w:tcPr>
            <w:tcW w:w="1259" w:type="dxa"/>
          </w:tcPr>
          <w:p w:rsidR="00BA6265" w:rsidRPr="005A4259" w:rsidRDefault="00BA6265" w:rsidP="004032E0">
            <w:pPr>
              <w:jc w:val="center"/>
              <w:rPr>
                <w:b/>
                <w:sz w:val="20"/>
                <w:szCs w:val="20"/>
              </w:rPr>
            </w:pPr>
          </w:p>
        </w:tc>
      </w:tr>
      <w:tr w:rsidR="00BA6265" w:rsidTr="005A4259">
        <w:trPr>
          <w:jc w:val="center"/>
        </w:trPr>
        <w:tc>
          <w:tcPr>
            <w:tcW w:w="2774" w:type="dxa"/>
          </w:tcPr>
          <w:p w:rsidR="00BA6265" w:rsidRPr="005A4259" w:rsidRDefault="00BA6265" w:rsidP="005A4259">
            <w:pPr>
              <w:rPr>
                <w:sz w:val="20"/>
                <w:szCs w:val="20"/>
              </w:rPr>
            </w:pPr>
            <w:r w:rsidRPr="005A4259">
              <w:rPr>
                <w:sz w:val="20"/>
                <w:szCs w:val="20"/>
              </w:rPr>
              <w:t>People per house</w:t>
            </w:r>
          </w:p>
        </w:tc>
        <w:tc>
          <w:tcPr>
            <w:tcW w:w="1559" w:type="dxa"/>
            <w:vAlign w:val="center"/>
          </w:tcPr>
          <w:p w:rsidR="00BA6265" w:rsidRPr="005A4259" w:rsidRDefault="00BA6265" w:rsidP="004032E0">
            <w:pPr>
              <w:jc w:val="center"/>
              <w:rPr>
                <w:sz w:val="20"/>
                <w:szCs w:val="20"/>
              </w:rPr>
            </w:pPr>
            <w:r w:rsidRPr="005A4259">
              <w:rPr>
                <w:sz w:val="20"/>
                <w:szCs w:val="20"/>
              </w:rPr>
              <w:t>8.53</w:t>
            </w:r>
          </w:p>
        </w:tc>
        <w:tc>
          <w:tcPr>
            <w:tcW w:w="1745" w:type="dxa"/>
            <w:vAlign w:val="center"/>
          </w:tcPr>
          <w:p w:rsidR="00BA6265" w:rsidRPr="005A4259" w:rsidRDefault="00BA6265" w:rsidP="004032E0">
            <w:pPr>
              <w:jc w:val="center"/>
              <w:rPr>
                <w:sz w:val="20"/>
                <w:szCs w:val="20"/>
              </w:rPr>
            </w:pPr>
            <w:r w:rsidRPr="005A4259">
              <w:rPr>
                <w:sz w:val="20"/>
                <w:szCs w:val="20"/>
              </w:rPr>
              <w:t>9.17</w:t>
            </w:r>
          </w:p>
        </w:tc>
        <w:tc>
          <w:tcPr>
            <w:tcW w:w="1849" w:type="dxa"/>
            <w:vAlign w:val="center"/>
          </w:tcPr>
          <w:p w:rsidR="00BA6265" w:rsidRPr="005A4259" w:rsidRDefault="00BA6265" w:rsidP="004032E0">
            <w:pPr>
              <w:jc w:val="center"/>
              <w:rPr>
                <w:sz w:val="20"/>
                <w:szCs w:val="20"/>
              </w:rPr>
            </w:pPr>
          </w:p>
        </w:tc>
        <w:tc>
          <w:tcPr>
            <w:tcW w:w="1259" w:type="dxa"/>
          </w:tcPr>
          <w:p w:rsidR="00BA6265" w:rsidRPr="005A4259" w:rsidRDefault="00BA6265" w:rsidP="004032E0">
            <w:pPr>
              <w:jc w:val="center"/>
              <w:rPr>
                <w:sz w:val="20"/>
                <w:szCs w:val="20"/>
              </w:rPr>
            </w:pPr>
          </w:p>
        </w:tc>
      </w:tr>
      <w:tr w:rsidR="00BA6265" w:rsidTr="005A4259">
        <w:trPr>
          <w:jc w:val="center"/>
        </w:trPr>
        <w:tc>
          <w:tcPr>
            <w:tcW w:w="2774" w:type="dxa"/>
          </w:tcPr>
          <w:p w:rsidR="00BA6265" w:rsidRPr="005A4259" w:rsidRDefault="00BA6265" w:rsidP="005A4259">
            <w:pPr>
              <w:rPr>
                <w:sz w:val="20"/>
                <w:szCs w:val="20"/>
              </w:rPr>
            </w:pPr>
            <w:r w:rsidRPr="005A4259">
              <w:rPr>
                <w:sz w:val="20"/>
                <w:szCs w:val="20"/>
              </w:rPr>
              <w:t xml:space="preserve">Children &lt; 5 </w:t>
            </w:r>
            <w:proofErr w:type="spellStart"/>
            <w:r w:rsidRPr="005A4259">
              <w:rPr>
                <w:sz w:val="20"/>
                <w:szCs w:val="20"/>
              </w:rPr>
              <w:t>yo</w:t>
            </w:r>
            <w:proofErr w:type="spellEnd"/>
            <w:r w:rsidRPr="005A4259">
              <w:rPr>
                <w:sz w:val="20"/>
                <w:szCs w:val="20"/>
              </w:rPr>
              <w:t xml:space="preserve"> per house</w:t>
            </w:r>
          </w:p>
        </w:tc>
        <w:tc>
          <w:tcPr>
            <w:tcW w:w="1559" w:type="dxa"/>
            <w:vAlign w:val="center"/>
          </w:tcPr>
          <w:p w:rsidR="00BA6265" w:rsidRPr="005A4259" w:rsidRDefault="00BA6265" w:rsidP="004032E0">
            <w:pPr>
              <w:jc w:val="center"/>
              <w:rPr>
                <w:sz w:val="20"/>
                <w:szCs w:val="20"/>
              </w:rPr>
            </w:pPr>
            <w:r w:rsidRPr="005A4259">
              <w:rPr>
                <w:sz w:val="20"/>
                <w:szCs w:val="20"/>
              </w:rPr>
              <w:t>2.30</w:t>
            </w:r>
          </w:p>
        </w:tc>
        <w:tc>
          <w:tcPr>
            <w:tcW w:w="1745" w:type="dxa"/>
            <w:vAlign w:val="center"/>
          </w:tcPr>
          <w:p w:rsidR="00BA6265" w:rsidRPr="005A4259" w:rsidRDefault="00BA6265" w:rsidP="004032E0">
            <w:pPr>
              <w:jc w:val="center"/>
              <w:rPr>
                <w:sz w:val="20"/>
                <w:szCs w:val="20"/>
              </w:rPr>
            </w:pPr>
            <w:r w:rsidRPr="005A4259">
              <w:rPr>
                <w:sz w:val="20"/>
                <w:szCs w:val="20"/>
              </w:rPr>
              <w:t>2.68</w:t>
            </w:r>
          </w:p>
        </w:tc>
        <w:tc>
          <w:tcPr>
            <w:tcW w:w="1849" w:type="dxa"/>
            <w:vAlign w:val="center"/>
          </w:tcPr>
          <w:p w:rsidR="00BA6265" w:rsidRPr="005A4259" w:rsidRDefault="00BA6265" w:rsidP="004032E0">
            <w:pPr>
              <w:jc w:val="center"/>
              <w:rPr>
                <w:sz w:val="20"/>
                <w:szCs w:val="20"/>
              </w:rPr>
            </w:pPr>
          </w:p>
        </w:tc>
        <w:tc>
          <w:tcPr>
            <w:tcW w:w="1259" w:type="dxa"/>
          </w:tcPr>
          <w:p w:rsidR="00BA6265" w:rsidRPr="005A4259" w:rsidRDefault="00BA6265" w:rsidP="004032E0">
            <w:pPr>
              <w:jc w:val="center"/>
              <w:rPr>
                <w:sz w:val="20"/>
                <w:szCs w:val="20"/>
              </w:rPr>
            </w:pPr>
          </w:p>
        </w:tc>
      </w:tr>
      <w:tr w:rsidR="00BA6265" w:rsidTr="005A4259">
        <w:trPr>
          <w:jc w:val="center"/>
        </w:trPr>
        <w:tc>
          <w:tcPr>
            <w:tcW w:w="2774" w:type="dxa"/>
          </w:tcPr>
          <w:p w:rsidR="00BA6265" w:rsidRPr="005A4259" w:rsidRDefault="00BA6265" w:rsidP="005A4259">
            <w:pPr>
              <w:rPr>
                <w:sz w:val="20"/>
                <w:szCs w:val="20"/>
              </w:rPr>
            </w:pPr>
            <w:r w:rsidRPr="005A4259">
              <w:rPr>
                <w:sz w:val="20"/>
                <w:szCs w:val="20"/>
              </w:rPr>
              <w:t>% with &gt;7 people</w:t>
            </w:r>
          </w:p>
        </w:tc>
        <w:tc>
          <w:tcPr>
            <w:tcW w:w="1559" w:type="dxa"/>
            <w:vAlign w:val="center"/>
          </w:tcPr>
          <w:p w:rsidR="00BA6265" w:rsidRPr="005A4259" w:rsidRDefault="00BA6265" w:rsidP="004032E0">
            <w:pPr>
              <w:jc w:val="center"/>
              <w:rPr>
                <w:sz w:val="20"/>
                <w:szCs w:val="20"/>
              </w:rPr>
            </w:pPr>
            <w:r w:rsidRPr="005A4259">
              <w:rPr>
                <w:sz w:val="20"/>
                <w:szCs w:val="20"/>
              </w:rPr>
              <w:t>64%</w:t>
            </w:r>
          </w:p>
          <w:p w:rsidR="00BA6265" w:rsidRPr="005A4259" w:rsidRDefault="00BA6265" w:rsidP="004032E0">
            <w:pPr>
              <w:jc w:val="center"/>
              <w:rPr>
                <w:sz w:val="20"/>
                <w:szCs w:val="20"/>
              </w:rPr>
            </w:pPr>
            <w:r w:rsidRPr="005A4259">
              <w:rPr>
                <w:sz w:val="20"/>
                <w:szCs w:val="20"/>
              </w:rPr>
              <w:t>[59 to 69]</w:t>
            </w:r>
          </w:p>
        </w:tc>
        <w:tc>
          <w:tcPr>
            <w:tcW w:w="1745" w:type="dxa"/>
            <w:vAlign w:val="center"/>
          </w:tcPr>
          <w:p w:rsidR="00BA6265" w:rsidRPr="005A4259" w:rsidRDefault="00BA6265" w:rsidP="004032E0">
            <w:pPr>
              <w:jc w:val="center"/>
              <w:rPr>
                <w:sz w:val="20"/>
                <w:szCs w:val="20"/>
              </w:rPr>
            </w:pPr>
            <w:r w:rsidRPr="005A4259">
              <w:rPr>
                <w:sz w:val="20"/>
                <w:szCs w:val="20"/>
              </w:rPr>
              <w:t>73%</w:t>
            </w:r>
          </w:p>
          <w:p w:rsidR="00BA6265" w:rsidRPr="005A4259" w:rsidRDefault="00BA6265" w:rsidP="004032E0">
            <w:pPr>
              <w:jc w:val="center"/>
              <w:rPr>
                <w:sz w:val="20"/>
                <w:szCs w:val="20"/>
              </w:rPr>
            </w:pPr>
            <w:r w:rsidRPr="005A4259">
              <w:rPr>
                <w:sz w:val="20"/>
                <w:szCs w:val="20"/>
              </w:rPr>
              <w:t>[64 to 82]</w:t>
            </w:r>
          </w:p>
        </w:tc>
        <w:tc>
          <w:tcPr>
            <w:tcW w:w="1849" w:type="dxa"/>
            <w:vAlign w:val="center"/>
          </w:tcPr>
          <w:p w:rsidR="00BA6265" w:rsidRPr="005A4259" w:rsidRDefault="00BA6265" w:rsidP="004032E0">
            <w:pPr>
              <w:jc w:val="center"/>
              <w:rPr>
                <w:sz w:val="20"/>
                <w:szCs w:val="20"/>
              </w:rPr>
            </w:pPr>
            <w:r w:rsidRPr="005A4259">
              <w:rPr>
                <w:sz w:val="20"/>
                <w:szCs w:val="20"/>
              </w:rPr>
              <w:t>9%</w:t>
            </w:r>
          </w:p>
          <w:p w:rsidR="00BA6265" w:rsidRPr="005A4259" w:rsidRDefault="00BA6265" w:rsidP="004032E0">
            <w:pPr>
              <w:jc w:val="center"/>
              <w:rPr>
                <w:sz w:val="20"/>
                <w:szCs w:val="20"/>
              </w:rPr>
            </w:pPr>
            <w:r w:rsidRPr="005A4259">
              <w:rPr>
                <w:sz w:val="20"/>
                <w:szCs w:val="20"/>
              </w:rPr>
              <w:t>[-1 to 19]</w:t>
            </w:r>
          </w:p>
        </w:tc>
        <w:tc>
          <w:tcPr>
            <w:tcW w:w="1259" w:type="dxa"/>
          </w:tcPr>
          <w:p w:rsidR="00BA6265" w:rsidRPr="005A4259" w:rsidRDefault="00BA6265" w:rsidP="004032E0">
            <w:pPr>
              <w:jc w:val="center"/>
              <w:rPr>
                <w:sz w:val="20"/>
                <w:szCs w:val="20"/>
              </w:rPr>
            </w:pPr>
            <w:r w:rsidRPr="005A4259">
              <w:rPr>
                <w:sz w:val="20"/>
                <w:szCs w:val="20"/>
              </w:rPr>
              <w:t>p=0.115</w:t>
            </w:r>
          </w:p>
        </w:tc>
      </w:tr>
      <w:tr w:rsidR="00BA6265" w:rsidTr="005A4259">
        <w:trPr>
          <w:jc w:val="center"/>
        </w:trPr>
        <w:tc>
          <w:tcPr>
            <w:tcW w:w="2774" w:type="dxa"/>
          </w:tcPr>
          <w:p w:rsidR="00BA6265" w:rsidRPr="005A4259" w:rsidRDefault="00BA6265" w:rsidP="005A4259">
            <w:pPr>
              <w:rPr>
                <w:sz w:val="20"/>
                <w:szCs w:val="20"/>
              </w:rPr>
            </w:pPr>
            <w:r w:rsidRPr="005A4259">
              <w:rPr>
                <w:sz w:val="20"/>
                <w:szCs w:val="20"/>
              </w:rPr>
              <w:t>Child care (any)</w:t>
            </w:r>
          </w:p>
        </w:tc>
        <w:tc>
          <w:tcPr>
            <w:tcW w:w="1559" w:type="dxa"/>
            <w:vAlign w:val="center"/>
          </w:tcPr>
          <w:p w:rsidR="00BA6265" w:rsidRPr="005A4259" w:rsidRDefault="00BA6265" w:rsidP="004032E0">
            <w:pPr>
              <w:jc w:val="center"/>
              <w:rPr>
                <w:sz w:val="20"/>
                <w:szCs w:val="20"/>
              </w:rPr>
            </w:pPr>
            <w:r w:rsidRPr="005A4259">
              <w:rPr>
                <w:sz w:val="20"/>
                <w:szCs w:val="20"/>
              </w:rPr>
              <w:t>19%</w:t>
            </w:r>
          </w:p>
        </w:tc>
        <w:tc>
          <w:tcPr>
            <w:tcW w:w="1745" w:type="dxa"/>
            <w:vAlign w:val="center"/>
          </w:tcPr>
          <w:p w:rsidR="00BA6265" w:rsidRPr="005A4259" w:rsidRDefault="00BA6265" w:rsidP="004032E0">
            <w:pPr>
              <w:jc w:val="center"/>
              <w:rPr>
                <w:sz w:val="20"/>
                <w:szCs w:val="20"/>
              </w:rPr>
            </w:pPr>
            <w:r w:rsidRPr="005A4259">
              <w:rPr>
                <w:sz w:val="20"/>
                <w:szCs w:val="20"/>
              </w:rPr>
              <w:t>14%</w:t>
            </w:r>
          </w:p>
        </w:tc>
        <w:tc>
          <w:tcPr>
            <w:tcW w:w="1849" w:type="dxa"/>
            <w:vAlign w:val="center"/>
          </w:tcPr>
          <w:p w:rsidR="00BA6265" w:rsidRPr="005A4259" w:rsidRDefault="00BA6265" w:rsidP="004032E0">
            <w:pPr>
              <w:jc w:val="center"/>
              <w:rPr>
                <w:sz w:val="20"/>
                <w:szCs w:val="20"/>
              </w:rPr>
            </w:pPr>
          </w:p>
        </w:tc>
        <w:tc>
          <w:tcPr>
            <w:tcW w:w="1259" w:type="dxa"/>
          </w:tcPr>
          <w:p w:rsidR="00BA6265" w:rsidRPr="005A4259" w:rsidRDefault="00BA6265" w:rsidP="004032E0">
            <w:pPr>
              <w:jc w:val="center"/>
              <w:rPr>
                <w:sz w:val="20"/>
                <w:szCs w:val="20"/>
              </w:rPr>
            </w:pPr>
          </w:p>
        </w:tc>
      </w:tr>
      <w:tr w:rsidR="00BA6265" w:rsidTr="005A4259">
        <w:trPr>
          <w:jc w:val="center"/>
        </w:trPr>
        <w:tc>
          <w:tcPr>
            <w:tcW w:w="2774" w:type="dxa"/>
          </w:tcPr>
          <w:p w:rsidR="00BA6265" w:rsidRPr="005A4259" w:rsidRDefault="00BA6265" w:rsidP="005A4259">
            <w:pPr>
              <w:rPr>
                <w:sz w:val="20"/>
                <w:szCs w:val="20"/>
              </w:rPr>
            </w:pPr>
            <w:r w:rsidRPr="005A4259">
              <w:rPr>
                <w:sz w:val="20"/>
                <w:szCs w:val="20"/>
              </w:rPr>
              <w:t>Cig smoke – mum</w:t>
            </w:r>
          </w:p>
        </w:tc>
        <w:tc>
          <w:tcPr>
            <w:tcW w:w="1559" w:type="dxa"/>
            <w:vAlign w:val="center"/>
          </w:tcPr>
          <w:p w:rsidR="00BA6265" w:rsidRPr="005A4259" w:rsidRDefault="00BA6265" w:rsidP="004032E0">
            <w:pPr>
              <w:jc w:val="center"/>
              <w:rPr>
                <w:sz w:val="20"/>
                <w:szCs w:val="20"/>
              </w:rPr>
            </w:pPr>
            <w:r w:rsidRPr="005A4259">
              <w:rPr>
                <w:sz w:val="20"/>
                <w:szCs w:val="20"/>
              </w:rPr>
              <w:t>54%</w:t>
            </w:r>
          </w:p>
          <w:p w:rsidR="00BA6265" w:rsidRPr="005A4259" w:rsidRDefault="00BA6265" w:rsidP="004032E0">
            <w:pPr>
              <w:jc w:val="center"/>
              <w:rPr>
                <w:sz w:val="20"/>
                <w:szCs w:val="20"/>
              </w:rPr>
            </w:pPr>
            <w:r w:rsidRPr="005A4259">
              <w:rPr>
                <w:sz w:val="20"/>
                <w:szCs w:val="20"/>
              </w:rPr>
              <w:t>[49 to 59]</w:t>
            </w:r>
          </w:p>
        </w:tc>
        <w:tc>
          <w:tcPr>
            <w:tcW w:w="1745" w:type="dxa"/>
            <w:vAlign w:val="center"/>
          </w:tcPr>
          <w:p w:rsidR="00BA6265" w:rsidRPr="005A4259" w:rsidRDefault="00BA6265" w:rsidP="004032E0">
            <w:pPr>
              <w:jc w:val="center"/>
              <w:rPr>
                <w:sz w:val="20"/>
                <w:szCs w:val="20"/>
              </w:rPr>
            </w:pPr>
            <w:r w:rsidRPr="005A4259">
              <w:rPr>
                <w:sz w:val="20"/>
                <w:szCs w:val="20"/>
              </w:rPr>
              <w:t>63%</w:t>
            </w:r>
          </w:p>
          <w:p w:rsidR="00BA6265" w:rsidRPr="005A4259" w:rsidRDefault="00BA6265" w:rsidP="004032E0">
            <w:pPr>
              <w:jc w:val="center"/>
              <w:rPr>
                <w:sz w:val="20"/>
                <w:szCs w:val="20"/>
              </w:rPr>
            </w:pPr>
            <w:r w:rsidRPr="005A4259">
              <w:rPr>
                <w:sz w:val="20"/>
                <w:szCs w:val="20"/>
              </w:rPr>
              <w:t>[53 to 73]</w:t>
            </w:r>
          </w:p>
        </w:tc>
        <w:tc>
          <w:tcPr>
            <w:tcW w:w="1849" w:type="dxa"/>
            <w:vAlign w:val="center"/>
          </w:tcPr>
          <w:p w:rsidR="00BA6265" w:rsidRPr="005A4259" w:rsidRDefault="00BA6265" w:rsidP="004032E0">
            <w:pPr>
              <w:jc w:val="center"/>
              <w:rPr>
                <w:sz w:val="20"/>
                <w:szCs w:val="20"/>
              </w:rPr>
            </w:pPr>
            <w:r w:rsidRPr="005A4259">
              <w:rPr>
                <w:sz w:val="20"/>
                <w:szCs w:val="20"/>
              </w:rPr>
              <w:t>9%</w:t>
            </w:r>
          </w:p>
          <w:p w:rsidR="00BA6265" w:rsidRPr="005A4259" w:rsidRDefault="00BA6265" w:rsidP="004032E0">
            <w:pPr>
              <w:jc w:val="center"/>
              <w:rPr>
                <w:sz w:val="20"/>
                <w:szCs w:val="20"/>
              </w:rPr>
            </w:pPr>
            <w:r w:rsidRPr="005A4259">
              <w:rPr>
                <w:sz w:val="20"/>
                <w:szCs w:val="20"/>
              </w:rPr>
              <w:t>[-2 to 20]</w:t>
            </w:r>
          </w:p>
        </w:tc>
        <w:tc>
          <w:tcPr>
            <w:tcW w:w="1259" w:type="dxa"/>
          </w:tcPr>
          <w:p w:rsidR="00BA6265" w:rsidRPr="005A4259" w:rsidRDefault="00BA6265" w:rsidP="004032E0">
            <w:pPr>
              <w:jc w:val="center"/>
              <w:rPr>
                <w:sz w:val="20"/>
                <w:szCs w:val="20"/>
              </w:rPr>
            </w:pPr>
            <w:r w:rsidRPr="005A4259">
              <w:rPr>
                <w:sz w:val="20"/>
                <w:szCs w:val="20"/>
              </w:rPr>
              <w:t>p=0.134</w:t>
            </w:r>
          </w:p>
        </w:tc>
      </w:tr>
      <w:tr w:rsidR="00BA6265" w:rsidTr="005A4259">
        <w:trPr>
          <w:jc w:val="center"/>
        </w:trPr>
        <w:tc>
          <w:tcPr>
            <w:tcW w:w="2774" w:type="dxa"/>
          </w:tcPr>
          <w:p w:rsidR="00BA6265" w:rsidRPr="005A4259" w:rsidRDefault="00BA6265" w:rsidP="005A4259">
            <w:pPr>
              <w:rPr>
                <w:sz w:val="20"/>
                <w:szCs w:val="20"/>
              </w:rPr>
            </w:pPr>
            <w:r w:rsidRPr="005A4259">
              <w:rPr>
                <w:sz w:val="20"/>
                <w:szCs w:val="20"/>
              </w:rPr>
              <w:t>Child near campfire</w:t>
            </w:r>
          </w:p>
        </w:tc>
        <w:tc>
          <w:tcPr>
            <w:tcW w:w="1559" w:type="dxa"/>
            <w:vAlign w:val="center"/>
          </w:tcPr>
          <w:p w:rsidR="00BA6265" w:rsidRPr="005A4259" w:rsidRDefault="00BA6265" w:rsidP="004032E0">
            <w:pPr>
              <w:jc w:val="center"/>
              <w:rPr>
                <w:sz w:val="20"/>
                <w:szCs w:val="20"/>
              </w:rPr>
            </w:pPr>
            <w:r w:rsidRPr="005A4259">
              <w:rPr>
                <w:sz w:val="20"/>
                <w:szCs w:val="20"/>
              </w:rPr>
              <w:t>32%</w:t>
            </w:r>
          </w:p>
        </w:tc>
        <w:tc>
          <w:tcPr>
            <w:tcW w:w="1745" w:type="dxa"/>
            <w:vAlign w:val="center"/>
          </w:tcPr>
          <w:p w:rsidR="00BA6265" w:rsidRPr="005A4259" w:rsidRDefault="00BA6265" w:rsidP="004032E0">
            <w:pPr>
              <w:jc w:val="center"/>
              <w:rPr>
                <w:sz w:val="20"/>
                <w:szCs w:val="20"/>
              </w:rPr>
            </w:pPr>
            <w:r w:rsidRPr="005A4259">
              <w:rPr>
                <w:sz w:val="20"/>
                <w:szCs w:val="20"/>
              </w:rPr>
              <w:t>29%</w:t>
            </w:r>
          </w:p>
        </w:tc>
        <w:tc>
          <w:tcPr>
            <w:tcW w:w="1849" w:type="dxa"/>
            <w:vAlign w:val="center"/>
          </w:tcPr>
          <w:p w:rsidR="00BA6265" w:rsidRPr="005A4259" w:rsidRDefault="00BA6265" w:rsidP="004032E0">
            <w:pPr>
              <w:jc w:val="center"/>
              <w:rPr>
                <w:sz w:val="20"/>
                <w:szCs w:val="20"/>
              </w:rPr>
            </w:pPr>
          </w:p>
        </w:tc>
        <w:tc>
          <w:tcPr>
            <w:tcW w:w="1259" w:type="dxa"/>
          </w:tcPr>
          <w:p w:rsidR="00BA6265" w:rsidRPr="005A4259" w:rsidRDefault="00BA6265" w:rsidP="004032E0">
            <w:pPr>
              <w:jc w:val="center"/>
              <w:rPr>
                <w:sz w:val="20"/>
                <w:szCs w:val="20"/>
              </w:rPr>
            </w:pPr>
          </w:p>
        </w:tc>
      </w:tr>
      <w:tr w:rsidR="00BA6265" w:rsidTr="005A4259">
        <w:trPr>
          <w:jc w:val="center"/>
        </w:trPr>
        <w:tc>
          <w:tcPr>
            <w:tcW w:w="2774" w:type="dxa"/>
          </w:tcPr>
          <w:p w:rsidR="00BA6265" w:rsidRPr="005A4259" w:rsidRDefault="00BA6265" w:rsidP="005A4259">
            <w:pPr>
              <w:rPr>
                <w:sz w:val="20"/>
                <w:szCs w:val="20"/>
              </w:rPr>
            </w:pPr>
            <w:r w:rsidRPr="005A4259">
              <w:rPr>
                <w:sz w:val="20"/>
                <w:szCs w:val="20"/>
              </w:rPr>
              <w:t>Mum education</w:t>
            </w:r>
          </w:p>
        </w:tc>
        <w:tc>
          <w:tcPr>
            <w:tcW w:w="1559" w:type="dxa"/>
            <w:vAlign w:val="center"/>
          </w:tcPr>
          <w:p w:rsidR="00BA6265" w:rsidRPr="005A4259" w:rsidRDefault="00BA6265" w:rsidP="004032E0">
            <w:pPr>
              <w:jc w:val="center"/>
              <w:rPr>
                <w:sz w:val="20"/>
                <w:szCs w:val="20"/>
              </w:rPr>
            </w:pPr>
            <w:r w:rsidRPr="005A4259">
              <w:rPr>
                <w:sz w:val="20"/>
                <w:szCs w:val="20"/>
              </w:rPr>
              <w:t>29%</w:t>
            </w:r>
          </w:p>
        </w:tc>
        <w:tc>
          <w:tcPr>
            <w:tcW w:w="1745" w:type="dxa"/>
            <w:vAlign w:val="center"/>
          </w:tcPr>
          <w:p w:rsidR="00BA6265" w:rsidRPr="005A4259" w:rsidRDefault="00BA6265" w:rsidP="004032E0">
            <w:pPr>
              <w:jc w:val="center"/>
              <w:rPr>
                <w:sz w:val="20"/>
                <w:szCs w:val="20"/>
              </w:rPr>
            </w:pPr>
            <w:r w:rsidRPr="005A4259">
              <w:rPr>
                <w:sz w:val="20"/>
                <w:szCs w:val="20"/>
              </w:rPr>
              <w:t>25%</w:t>
            </w:r>
          </w:p>
        </w:tc>
        <w:tc>
          <w:tcPr>
            <w:tcW w:w="1849" w:type="dxa"/>
            <w:vAlign w:val="center"/>
          </w:tcPr>
          <w:p w:rsidR="00BA6265" w:rsidRPr="005A4259" w:rsidRDefault="00BA6265" w:rsidP="004032E0">
            <w:pPr>
              <w:jc w:val="center"/>
              <w:rPr>
                <w:sz w:val="20"/>
                <w:szCs w:val="20"/>
              </w:rPr>
            </w:pPr>
          </w:p>
        </w:tc>
        <w:tc>
          <w:tcPr>
            <w:tcW w:w="1259" w:type="dxa"/>
          </w:tcPr>
          <w:p w:rsidR="00BA6265" w:rsidRPr="005A4259" w:rsidRDefault="00BA6265" w:rsidP="004032E0">
            <w:pPr>
              <w:jc w:val="center"/>
              <w:rPr>
                <w:sz w:val="20"/>
                <w:szCs w:val="20"/>
              </w:rPr>
            </w:pPr>
          </w:p>
        </w:tc>
      </w:tr>
      <w:tr w:rsidR="00BA6265" w:rsidTr="005A4259">
        <w:trPr>
          <w:jc w:val="center"/>
        </w:trPr>
        <w:tc>
          <w:tcPr>
            <w:tcW w:w="2774" w:type="dxa"/>
          </w:tcPr>
          <w:p w:rsidR="00BA6265" w:rsidRPr="005A4259" w:rsidRDefault="00BA6265" w:rsidP="005A4259">
            <w:pPr>
              <w:rPr>
                <w:sz w:val="20"/>
                <w:szCs w:val="20"/>
              </w:rPr>
            </w:pPr>
            <w:r w:rsidRPr="005A4259">
              <w:rPr>
                <w:sz w:val="20"/>
                <w:szCs w:val="20"/>
              </w:rPr>
              <w:t>Breastfed</w:t>
            </w:r>
          </w:p>
        </w:tc>
        <w:tc>
          <w:tcPr>
            <w:tcW w:w="1559" w:type="dxa"/>
            <w:vAlign w:val="center"/>
          </w:tcPr>
          <w:p w:rsidR="00BA6265" w:rsidRPr="005A4259" w:rsidRDefault="00BA6265" w:rsidP="004032E0">
            <w:pPr>
              <w:jc w:val="center"/>
              <w:rPr>
                <w:sz w:val="20"/>
                <w:szCs w:val="20"/>
              </w:rPr>
            </w:pPr>
            <w:r w:rsidRPr="005A4259">
              <w:rPr>
                <w:sz w:val="20"/>
                <w:szCs w:val="20"/>
              </w:rPr>
              <w:t>93%</w:t>
            </w:r>
          </w:p>
        </w:tc>
        <w:tc>
          <w:tcPr>
            <w:tcW w:w="1745" w:type="dxa"/>
            <w:vAlign w:val="center"/>
          </w:tcPr>
          <w:p w:rsidR="00BA6265" w:rsidRPr="005A4259" w:rsidRDefault="00BA6265" w:rsidP="004032E0">
            <w:pPr>
              <w:jc w:val="center"/>
              <w:rPr>
                <w:sz w:val="20"/>
                <w:szCs w:val="20"/>
              </w:rPr>
            </w:pPr>
            <w:r w:rsidRPr="005A4259">
              <w:rPr>
                <w:sz w:val="20"/>
                <w:szCs w:val="20"/>
              </w:rPr>
              <w:t>89%</w:t>
            </w:r>
          </w:p>
        </w:tc>
        <w:tc>
          <w:tcPr>
            <w:tcW w:w="1849" w:type="dxa"/>
            <w:vAlign w:val="center"/>
          </w:tcPr>
          <w:p w:rsidR="00BA6265" w:rsidRPr="005A4259" w:rsidRDefault="00BA6265" w:rsidP="004032E0">
            <w:pPr>
              <w:jc w:val="center"/>
              <w:rPr>
                <w:sz w:val="20"/>
                <w:szCs w:val="20"/>
              </w:rPr>
            </w:pPr>
          </w:p>
        </w:tc>
        <w:tc>
          <w:tcPr>
            <w:tcW w:w="1259" w:type="dxa"/>
          </w:tcPr>
          <w:p w:rsidR="00BA6265" w:rsidRPr="005A4259" w:rsidRDefault="00BA6265" w:rsidP="004032E0">
            <w:pPr>
              <w:jc w:val="center"/>
              <w:rPr>
                <w:sz w:val="20"/>
                <w:szCs w:val="20"/>
              </w:rPr>
            </w:pPr>
          </w:p>
        </w:tc>
      </w:tr>
      <w:tr w:rsidR="00BA6265" w:rsidTr="005A4259">
        <w:trPr>
          <w:jc w:val="center"/>
        </w:trPr>
        <w:tc>
          <w:tcPr>
            <w:tcW w:w="2774" w:type="dxa"/>
          </w:tcPr>
          <w:p w:rsidR="00BA6265" w:rsidRPr="005A4259" w:rsidRDefault="00BA6265" w:rsidP="005A4259">
            <w:pPr>
              <w:rPr>
                <w:sz w:val="20"/>
                <w:szCs w:val="20"/>
              </w:rPr>
            </w:pPr>
            <w:r w:rsidRPr="005A4259">
              <w:rPr>
                <w:sz w:val="20"/>
                <w:szCs w:val="20"/>
              </w:rPr>
              <w:t>Pacifier</w:t>
            </w:r>
          </w:p>
        </w:tc>
        <w:tc>
          <w:tcPr>
            <w:tcW w:w="1559" w:type="dxa"/>
            <w:vAlign w:val="center"/>
          </w:tcPr>
          <w:p w:rsidR="00BA6265" w:rsidRPr="005A4259" w:rsidRDefault="00BA6265" w:rsidP="004032E0">
            <w:pPr>
              <w:jc w:val="center"/>
              <w:rPr>
                <w:sz w:val="20"/>
                <w:szCs w:val="20"/>
              </w:rPr>
            </w:pPr>
            <w:r w:rsidRPr="005A4259">
              <w:rPr>
                <w:sz w:val="20"/>
                <w:szCs w:val="20"/>
              </w:rPr>
              <w:t>21%</w:t>
            </w:r>
          </w:p>
        </w:tc>
        <w:tc>
          <w:tcPr>
            <w:tcW w:w="1745" w:type="dxa"/>
            <w:vAlign w:val="center"/>
          </w:tcPr>
          <w:p w:rsidR="00BA6265" w:rsidRPr="005A4259" w:rsidRDefault="00BA6265" w:rsidP="004032E0">
            <w:pPr>
              <w:jc w:val="center"/>
              <w:rPr>
                <w:sz w:val="20"/>
                <w:szCs w:val="20"/>
              </w:rPr>
            </w:pPr>
            <w:r w:rsidRPr="005A4259">
              <w:rPr>
                <w:sz w:val="20"/>
                <w:szCs w:val="20"/>
              </w:rPr>
              <w:t>23%</w:t>
            </w:r>
          </w:p>
        </w:tc>
        <w:tc>
          <w:tcPr>
            <w:tcW w:w="1849" w:type="dxa"/>
            <w:vAlign w:val="center"/>
          </w:tcPr>
          <w:p w:rsidR="00BA6265" w:rsidRPr="005A4259" w:rsidRDefault="00BA6265" w:rsidP="004032E0">
            <w:pPr>
              <w:jc w:val="center"/>
              <w:rPr>
                <w:sz w:val="20"/>
                <w:szCs w:val="20"/>
              </w:rPr>
            </w:pPr>
          </w:p>
        </w:tc>
        <w:tc>
          <w:tcPr>
            <w:tcW w:w="1259" w:type="dxa"/>
          </w:tcPr>
          <w:p w:rsidR="00BA6265" w:rsidRPr="005A4259" w:rsidRDefault="00BA6265" w:rsidP="004032E0">
            <w:pPr>
              <w:jc w:val="center"/>
              <w:rPr>
                <w:sz w:val="20"/>
                <w:szCs w:val="20"/>
              </w:rPr>
            </w:pPr>
          </w:p>
        </w:tc>
      </w:tr>
    </w:tbl>
    <w:p w:rsidR="00BA6265" w:rsidRPr="004032E0" w:rsidRDefault="00BA6265" w:rsidP="00BC29AC">
      <w:pPr>
        <w:pStyle w:val="Heading7"/>
      </w:pPr>
      <w:r w:rsidRPr="004032E0">
        <w:t>Conclusion</w:t>
      </w:r>
    </w:p>
    <w:p w:rsidR="00BA6265" w:rsidRDefault="00BA6265" w:rsidP="00335126">
      <w:r>
        <w:t>Approximately 90% of young children surveyed who were living in the remote communities of the Northern Territory and the Torres Strait Islands had some form of otitis media. This rate is similar to that reported Northern Territory in 2006 (from a study conducted in 2001).</w:t>
      </w:r>
      <w:r w:rsidRPr="00335126">
        <w:rPr>
          <w:vertAlign w:val="superscript"/>
        </w:rPr>
        <w:t>1</w:t>
      </w:r>
      <w:r>
        <w:t xml:space="preserve"> In some communities, tympanic membrane perforation rates were more than 30%. While the overall rate of otitis media is not decreasing, there is possibly a modest decrease in CSOM over time.  Further surveillance with larger numbers of children will be required to confirm this.  The high rates of all forms of otitis media found in this survey highlight the urgency needed in providing treatment and management of this chronic disease in children within remote Northern Territory communities.</w:t>
      </w:r>
    </w:p>
    <w:p w:rsidR="00BA6265" w:rsidRDefault="00BA6265" w:rsidP="00660039"/>
    <w:p w:rsidR="00BA6265" w:rsidRDefault="00BA6265" w:rsidP="00660039">
      <w:pPr>
        <w:rPr>
          <w:rFonts w:ascii="Courier New" w:hAnsi="Courier New" w:cs="Courier New"/>
        </w:rPr>
      </w:pPr>
      <w:r>
        <w:t>The rates of otitis media described in this surveillance project were much greater than figures reported in 2008 by the Emergency Health Check Initiative.</w:t>
      </w:r>
      <w:r>
        <w:rPr>
          <w:vertAlign w:val="superscript"/>
        </w:rPr>
        <w:t xml:space="preserve">2  </w:t>
      </w:r>
      <w:r>
        <w:t xml:space="preserve">The difference in the overall prevalence of otitis media between previous research studies and the </w:t>
      </w:r>
      <w:r w:rsidRPr="005522D4">
        <w:t>Emergency Response Child Health Check Initiative</w:t>
      </w:r>
      <w:r>
        <w:t xml:space="preserve"> is likely to reflect different assessment methods and inclusion of children from outside remote Aboriginal communities in the Child Health Check Initiative.</w:t>
      </w:r>
    </w:p>
    <w:p w:rsidR="00BA6265" w:rsidRDefault="00BA6265">
      <w:pPr>
        <w:rPr>
          <w:b/>
        </w:rPr>
      </w:pPr>
      <w:r>
        <w:rPr>
          <w:b/>
        </w:rPr>
        <w:br w:type="page"/>
      </w:r>
    </w:p>
    <w:p w:rsidR="00BA6265" w:rsidRPr="00BC29AC" w:rsidRDefault="00BA6265" w:rsidP="00BC29AC">
      <w:pPr>
        <w:pStyle w:val="Heading5"/>
        <w:pBdr>
          <w:top w:val="none" w:sz="0" w:space="0" w:color="auto"/>
          <w:left w:val="none" w:sz="0" w:space="0" w:color="auto"/>
          <w:bottom w:val="none" w:sz="0" w:space="0" w:color="auto"/>
          <w:right w:val="none" w:sz="0" w:space="0" w:color="auto"/>
        </w:pBdr>
        <w:jc w:val="center"/>
        <w:rPr>
          <w:sz w:val="28"/>
          <w:szCs w:val="28"/>
        </w:rPr>
      </w:pPr>
      <w:r w:rsidRPr="00BC29AC">
        <w:rPr>
          <w:sz w:val="28"/>
          <w:szCs w:val="28"/>
        </w:rPr>
        <w:lastRenderedPageBreak/>
        <w:t>CONCLUSIONS</w:t>
      </w:r>
    </w:p>
    <w:p w:rsidR="00BA6265" w:rsidRDefault="00BA6265" w:rsidP="0089043C">
      <w:pPr>
        <w:contextualSpacing/>
        <w:rPr>
          <w:b/>
          <w:color w:val="000000"/>
          <w:lang w:eastAsia="en-US"/>
        </w:rPr>
      </w:pPr>
    </w:p>
    <w:p w:rsidR="00BA6265" w:rsidRDefault="00BA6265" w:rsidP="0089043C">
      <w:pPr>
        <w:contextualSpacing/>
        <w:rPr>
          <w:b/>
          <w:color w:val="000000"/>
          <w:lang w:eastAsia="en-US"/>
        </w:rPr>
      </w:pPr>
      <w:r w:rsidRPr="00BC29AC">
        <w:rPr>
          <w:rStyle w:val="Heading6Char"/>
        </w:rPr>
        <w:t>Project 1</w:t>
      </w:r>
      <w:r>
        <w:rPr>
          <w:b/>
          <w:color w:val="000000"/>
          <w:lang w:eastAsia="en-US"/>
        </w:rPr>
        <w:t xml:space="preserve"> (</w:t>
      </w:r>
      <w:r w:rsidRPr="0089043C">
        <w:rPr>
          <w:i/>
          <w:color w:val="000000"/>
          <w:lang w:eastAsia="en-US"/>
        </w:rPr>
        <w:t>NHMRC Proposal)</w:t>
      </w:r>
    </w:p>
    <w:p w:rsidR="00BA6265" w:rsidRDefault="00BA6265" w:rsidP="0089043C">
      <w:pPr>
        <w:autoSpaceDE w:val="0"/>
        <w:autoSpaceDN w:val="0"/>
        <w:adjustRightInd w:val="0"/>
      </w:pPr>
      <w:r>
        <w:t xml:space="preserve">The proposed randomised controlled trial will provide an important contribution towards the assessment of clinical interventions for otitis media in Indigenous children.  Unfortunately, in the Northern Territory this remains a common disease which potentially has a profound adverse effect on child hearing and development. </w:t>
      </w:r>
      <w:r w:rsidRPr="00B96EAD">
        <w:t xml:space="preserve">This </w:t>
      </w:r>
      <w:r>
        <w:t xml:space="preserve">proposed </w:t>
      </w:r>
      <w:r w:rsidRPr="00B96EAD">
        <w:t>research project will address 2 medical treatment options</w:t>
      </w:r>
      <w:r>
        <w:t>,</w:t>
      </w:r>
      <w:r w:rsidRPr="00B96EAD">
        <w:t xml:space="preserve"> </w:t>
      </w:r>
      <w:r>
        <w:t xml:space="preserve">both of which are used commonly but are not consistent with most </w:t>
      </w:r>
      <w:r w:rsidRPr="00B96EAD">
        <w:t>current clinical practice</w:t>
      </w:r>
      <w:r>
        <w:t xml:space="preserve"> guidelines. The trial will result in the best available evidence to guide the medical management of chronic </w:t>
      </w:r>
      <w:proofErr w:type="spellStart"/>
      <w:r>
        <w:t>suppurative</w:t>
      </w:r>
      <w:proofErr w:type="spellEnd"/>
      <w:r>
        <w:t xml:space="preserve"> otitis media in high-risk children.  The results will have important implications for all disadvantaged populations suffering this disease, especially for Indigenous Australians (where rates are unacceptably high). The usefulness of training and educational materials for Aboriginal Health Workers will also be examined. These resources should also support other workers in disadvantaged populations. This aspect is especially important for the ongoing management of this chronic disease.</w:t>
      </w:r>
    </w:p>
    <w:p w:rsidR="00BA6265" w:rsidRDefault="00BA6265" w:rsidP="0089043C">
      <w:pPr>
        <w:autoSpaceDE w:val="0"/>
        <w:autoSpaceDN w:val="0"/>
        <w:adjustRightInd w:val="0"/>
      </w:pPr>
    </w:p>
    <w:p w:rsidR="00536BD5" w:rsidRDefault="00BA6265" w:rsidP="00611E43">
      <w:r>
        <w:t xml:space="preserve">The design and scope of this study will lead to more robust data surrounding issues of effective clinical management of chronic </w:t>
      </w:r>
      <w:proofErr w:type="spellStart"/>
      <w:r>
        <w:t>suppurative</w:t>
      </w:r>
      <w:proofErr w:type="spellEnd"/>
      <w:r>
        <w:t xml:space="preserve"> otitis media in high-risk children. The study also meets the goals of the ‘Close the Gap’ initiative in Indigenous health that identifies hearing health in the Northern Territory as a priority.</w:t>
      </w:r>
    </w:p>
    <w:p w:rsidR="00BA6265" w:rsidRDefault="00536BD5" w:rsidP="00611E43">
      <w:pPr>
        <w:rPr>
          <w:b/>
          <w:color w:val="000000"/>
          <w:lang w:eastAsia="en-US"/>
        </w:rPr>
      </w:pPr>
      <w:r>
        <w:rPr>
          <w:b/>
          <w:color w:val="000000"/>
          <w:lang w:eastAsia="en-US"/>
        </w:rPr>
        <w:t xml:space="preserve"> </w:t>
      </w:r>
    </w:p>
    <w:p w:rsidR="00BA6265" w:rsidRDefault="00BA6265" w:rsidP="00611E43">
      <w:pPr>
        <w:contextualSpacing/>
        <w:rPr>
          <w:b/>
          <w:color w:val="000000"/>
          <w:lang w:eastAsia="en-US"/>
        </w:rPr>
      </w:pPr>
      <w:r w:rsidRPr="00BC29AC">
        <w:rPr>
          <w:rStyle w:val="Heading6Char"/>
        </w:rPr>
        <w:t xml:space="preserve">Project </w:t>
      </w:r>
      <w:proofErr w:type="gramStart"/>
      <w:r w:rsidRPr="00BC29AC">
        <w:rPr>
          <w:rStyle w:val="Heading6Char"/>
        </w:rPr>
        <w:t xml:space="preserve">2 </w:t>
      </w:r>
      <w:r>
        <w:rPr>
          <w:b/>
          <w:color w:val="000000"/>
          <w:lang w:eastAsia="en-US"/>
        </w:rPr>
        <w:t xml:space="preserve"> </w:t>
      </w:r>
      <w:r w:rsidRPr="0089043C">
        <w:rPr>
          <w:i/>
          <w:color w:val="000000"/>
          <w:lang w:eastAsia="en-US"/>
        </w:rPr>
        <w:t>(</w:t>
      </w:r>
      <w:proofErr w:type="gramEnd"/>
      <w:r w:rsidRPr="0089043C">
        <w:rPr>
          <w:i/>
          <w:color w:val="000000"/>
          <w:lang w:eastAsia="en-US"/>
        </w:rPr>
        <w:t>Systematic Review)</w:t>
      </w:r>
    </w:p>
    <w:p w:rsidR="00536BD5" w:rsidRDefault="00BA6265" w:rsidP="00611E43">
      <w:r>
        <w:t>Adherence to treatment is a major issue in the effective clinical management of otitis media. The systematic review, which followed the NHMRC guidelines of systematic reviews, found some evidence to suggest that regular SMS messaging (</w:t>
      </w:r>
      <w:r w:rsidRPr="00DA4F2D">
        <w:t>sent via mobile phones to persons who have conditions that require daily therapy and ongoing medical follow-up to improve adherence</w:t>
      </w:r>
      <w:r>
        <w:t>)</w:t>
      </w:r>
      <w:r w:rsidRPr="00DA4F2D">
        <w:t xml:space="preserve"> is effective</w:t>
      </w:r>
      <w:r>
        <w:t xml:space="preserve">.  However </w:t>
      </w:r>
      <w:r w:rsidRPr="00DA4F2D">
        <w:t>care should be taken in its application.</w:t>
      </w:r>
      <w:r>
        <w:t xml:space="preserve"> I</w:t>
      </w:r>
      <w:r w:rsidRPr="00DA4F2D">
        <w:t xml:space="preserve">mportant individual, family, treatment and health service characteristics </w:t>
      </w:r>
      <w:r>
        <w:t>can affect t</w:t>
      </w:r>
      <w:r w:rsidRPr="00DA4F2D">
        <w:t>he effectiveness of SMS leading to improved adherence</w:t>
      </w:r>
      <w:r>
        <w:t xml:space="preserve">.  These factors represent </w:t>
      </w:r>
      <w:r w:rsidRPr="00DA4F2D">
        <w:t>real or perceived barriers to adherence.</w:t>
      </w:r>
      <w:r>
        <w:t xml:space="preserve">  While the results of the systematic review are encouraging, further randomised trials involving Indigenous Australians are needed.</w:t>
      </w:r>
    </w:p>
    <w:p w:rsidR="00BA6265" w:rsidRDefault="00536BD5" w:rsidP="00611E43">
      <w:pPr>
        <w:rPr>
          <w:b/>
          <w:lang w:eastAsia="en-US"/>
        </w:rPr>
      </w:pPr>
      <w:r>
        <w:rPr>
          <w:b/>
          <w:lang w:eastAsia="en-US"/>
        </w:rPr>
        <w:t xml:space="preserve"> </w:t>
      </w:r>
    </w:p>
    <w:p w:rsidR="00BA6265" w:rsidRPr="00C04C66" w:rsidRDefault="00BA6265" w:rsidP="00611E43">
      <w:pPr>
        <w:contextualSpacing/>
        <w:rPr>
          <w:i/>
          <w:lang w:eastAsia="en-US"/>
        </w:rPr>
      </w:pPr>
      <w:r w:rsidRPr="00BC29AC">
        <w:rPr>
          <w:rStyle w:val="Heading6Char"/>
        </w:rPr>
        <w:t xml:space="preserve">Project </w:t>
      </w:r>
      <w:proofErr w:type="gramStart"/>
      <w:r w:rsidRPr="00BC29AC">
        <w:rPr>
          <w:rStyle w:val="Heading6Char"/>
        </w:rPr>
        <w:t>3</w:t>
      </w:r>
      <w:r w:rsidRPr="00C04C66">
        <w:rPr>
          <w:b/>
          <w:lang w:eastAsia="en-US"/>
        </w:rPr>
        <w:t xml:space="preserve">  </w:t>
      </w:r>
      <w:r w:rsidRPr="00C04C66">
        <w:rPr>
          <w:i/>
          <w:lang w:eastAsia="en-US"/>
        </w:rPr>
        <w:t>(</w:t>
      </w:r>
      <w:proofErr w:type="gramEnd"/>
      <w:r w:rsidRPr="00C04C66">
        <w:rPr>
          <w:i/>
          <w:lang w:eastAsia="en-US"/>
        </w:rPr>
        <w:t>Randomised Controlled Trial)</w:t>
      </w:r>
    </w:p>
    <w:p w:rsidR="00BA6265" w:rsidRPr="00C04C66" w:rsidRDefault="00BA6265" w:rsidP="00611E43">
      <w:pPr>
        <w:tabs>
          <w:tab w:val="left" w:pos="993"/>
        </w:tabs>
        <w:contextualSpacing/>
        <w:rPr>
          <w:lang w:eastAsia="en-US"/>
        </w:rPr>
      </w:pPr>
      <w:r w:rsidRPr="00C04C66">
        <w:rPr>
          <w:lang w:eastAsia="en-US"/>
        </w:rPr>
        <w:t xml:space="preserve">This pilot randomised controlled trial was the first of its kind in a remote Indigenous setting to determine the acceptability and efficacy of using MMS (video messaging) and texting to promote behavioural change in an Australian Indigenous population. In this small study, there were no benefits from </w:t>
      </w:r>
      <w:proofErr w:type="spellStart"/>
      <w:r w:rsidRPr="00C04C66">
        <w:rPr>
          <w:lang w:eastAsia="en-US"/>
        </w:rPr>
        <w:t>MMS’ing</w:t>
      </w:r>
      <w:proofErr w:type="spellEnd"/>
      <w:r w:rsidRPr="00C04C66">
        <w:rPr>
          <w:lang w:eastAsia="en-US"/>
        </w:rPr>
        <w:t xml:space="preserve"> or texting in terms of clinical improvement or attendance rates. It is possible however, that short, simple text messages with appointment times and/or treatment at home reminders without the video messaging would be more effective in encouraging short term behaviour change. Furthermore, a study conducted over a longer time period would potentially be more effective. </w:t>
      </w:r>
    </w:p>
    <w:p w:rsidR="00BA6265" w:rsidRPr="00C04C66" w:rsidRDefault="00BA6265" w:rsidP="00611E43">
      <w:pPr>
        <w:tabs>
          <w:tab w:val="left" w:pos="993"/>
        </w:tabs>
        <w:contextualSpacing/>
        <w:rPr>
          <w:lang w:eastAsia="en-US"/>
        </w:rPr>
      </w:pPr>
    </w:p>
    <w:p w:rsidR="00536BD5" w:rsidRDefault="00BA6265" w:rsidP="00536BD5">
      <w:pPr>
        <w:tabs>
          <w:tab w:val="left" w:pos="993"/>
        </w:tabs>
        <w:contextualSpacing/>
        <w:rPr>
          <w:lang w:eastAsia="en-US"/>
        </w:rPr>
      </w:pPr>
      <w:r w:rsidRPr="00C04C66">
        <w:rPr>
          <w:lang w:eastAsia="en-US"/>
        </w:rPr>
        <w:t xml:space="preserve">While MMS offers health care providers and health promoters an accessible, acceptable and novel approach for engaging families in remote Aboriginal communities, further research is needed.  It will be important to explore a broader range of characteristics (within the context of </w:t>
      </w:r>
      <w:proofErr w:type="spellStart"/>
      <w:r w:rsidRPr="00C04C66">
        <w:rPr>
          <w:lang w:eastAsia="en-US"/>
        </w:rPr>
        <w:t>MMS’ing</w:t>
      </w:r>
      <w:proofErr w:type="spellEnd"/>
      <w:r w:rsidRPr="00C04C66">
        <w:rPr>
          <w:lang w:eastAsia="en-US"/>
        </w:rPr>
        <w:t xml:space="preserve"> and texting) which may potentially promote clinic attendance and/or improves health outcomes.</w:t>
      </w:r>
    </w:p>
    <w:p w:rsidR="00BA6265" w:rsidRDefault="00536BD5" w:rsidP="00536BD5">
      <w:pPr>
        <w:tabs>
          <w:tab w:val="left" w:pos="993"/>
        </w:tabs>
        <w:contextualSpacing/>
        <w:rPr>
          <w:b/>
          <w:lang w:eastAsia="en-US"/>
        </w:rPr>
      </w:pPr>
      <w:r>
        <w:rPr>
          <w:b/>
          <w:lang w:eastAsia="en-US"/>
        </w:rPr>
        <w:t xml:space="preserve"> </w:t>
      </w:r>
    </w:p>
    <w:p w:rsidR="00BA6265" w:rsidRPr="00C04C66" w:rsidRDefault="00BA6265" w:rsidP="00611E43">
      <w:r w:rsidRPr="00BC29AC">
        <w:rPr>
          <w:rStyle w:val="Heading6Char"/>
        </w:rPr>
        <w:t xml:space="preserve">Project </w:t>
      </w:r>
      <w:proofErr w:type="gramStart"/>
      <w:r w:rsidRPr="00BC29AC">
        <w:rPr>
          <w:rStyle w:val="Heading6Char"/>
        </w:rPr>
        <w:t>4</w:t>
      </w:r>
      <w:r w:rsidRPr="00C04C66">
        <w:rPr>
          <w:b/>
          <w:lang w:eastAsia="en-US"/>
        </w:rPr>
        <w:t xml:space="preserve">  </w:t>
      </w:r>
      <w:r w:rsidRPr="00C04C66">
        <w:rPr>
          <w:i/>
          <w:lang w:eastAsia="en-US"/>
        </w:rPr>
        <w:t>(</w:t>
      </w:r>
      <w:proofErr w:type="gramEnd"/>
      <w:r w:rsidRPr="00C04C66">
        <w:rPr>
          <w:i/>
          <w:lang w:eastAsia="en-US"/>
        </w:rPr>
        <w:t>Prevalence Study)</w:t>
      </w:r>
      <w:r w:rsidRPr="00C04C66">
        <w:t xml:space="preserve"> </w:t>
      </w:r>
    </w:p>
    <w:p w:rsidR="00BA6265" w:rsidRDefault="00BA6265" w:rsidP="00587AC2">
      <w:pPr>
        <w:rPr>
          <w:color w:val="000000"/>
          <w:lang w:eastAsia="en-US"/>
        </w:rPr>
      </w:pPr>
      <w:r>
        <w:t xml:space="preserve">Different rates of otitis media have been reported for children living in the remote Northern Territory communities.  The variation between the rates has been significant. Prevalence data over a three year period confirmed that approximately 90% of children in these areas will have some form of otitis media. In some communities, </w:t>
      </w:r>
      <w:r w:rsidRPr="00185887">
        <w:t xml:space="preserve">tympanic membrane perforation rates </w:t>
      </w:r>
      <w:r>
        <w:t>were as high as</w:t>
      </w:r>
      <w:r w:rsidRPr="00185887">
        <w:t xml:space="preserve"> 30%. </w:t>
      </w:r>
      <w:r>
        <w:t xml:space="preserve">This has </w:t>
      </w:r>
      <w:r>
        <w:lastRenderedPageBreak/>
        <w:t xml:space="preserve">major implications for ‘whole of community’ and their children’s </w:t>
      </w:r>
      <w:proofErr w:type="spellStart"/>
      <w:r>
        <w:t>well being</w:t>
      </w:r>
      <w:proofErr w:type="spellEnd"/>
      <w:r>
        <w:t xml:space="preserve"> in terms of later learning and development. This is in community areas that are already suffering significant disadvantage. It was also confirmed in this data gathering that t</w:t>
      </w:r>
      <w:r w:rsidRPr="00185887">
        <w:t xml:space="preserve">he rate is not decreasing. </w:t>
      </w:r>
      <w:r>
        <w:t xml:space="preserve">The difference in the overall prevalence of otitis media between previous research studies and the </w:t>
      </w:r>
      <w:r w:rsidRPr="005522D4">
        <w:t>Emergency Response Child Health Check Initiative</w:t>
      </w:r>
      <w:r>
        <w:t xml:space="preserve"> is likely to reflect different assessment methods and inclusion of children from outside remote Aboriginal communities.</w:t>
      </w:r>
    </w:p>
    <w:p w:rsidR="00BA6265" w:rsidRDefault="00BA6265" w:rsidP="00611E43"/>
    <w:p w:rsidR="00BA6265" w:rsidRPr="00185887" w:rsidRDefault="00BA6265" w:rsidP="00611E43">
      <w:r w:rsidRPr="00185887">
        <w:t xml:space="preserve">The </w:t>
      </w:r>
      <w:r>
        <w:t xml:space="preserve">high rates of all forms of otitis media in Indigenous children </w:t>
      </w:r>
      <w:r w:rsidRPr="00185887">
        <w:t xml:space="preserve">highlight the </w:t>
      </w:r>
      <w:r>
        <w:t xml:space="preserve">extreme </w:t>
      </w:r>
      <w:r w:rsidRPr="00185887">
        <w:t xml:space="preserve">urgency needed in providing </w:t>
      </w:r>
      <w:r>
        <w:t xml:space="preserve">clinical </w:t>
      </w:r>
      <w:r w:rsidRPr="00185887">
        <w:t xml:space="preserve">treatment and </w:t>
      </w:r>
      <w:r>
        <w:t xml:space="preserve">ongoing </w:t>
      </w:r>
      <w:r w:rsidRPr="00185887">
        <w:t>management of this chr</w:t>
      </w:r>
      <w:r>
        <w:t xml:space="preserve">onic disease.  More effective prevention, earlier identification, better treatment, and more monitoring are especially needed for acute otitis media with perforation and chronic </w:t>
      </w:r>
      <w:proofErr w:type="spellStart"/>
      <w:r>
        <w:t>suppurative</w:t>
      </w:r>
      <w:proofErr w:type="spellEnd"/>
      <w:r>
        <w:t xml:space="preserve"> otitis media. </w:t>
      </w:r>
    </w:p>
    <w:p w:rsidR="00BA6265" w:rsidRDefault="00BA6265" w:rsidP="00A35D0D">
      <w:pPr>
        <w:pStyle w:val="Heading6"/>
      </w:pPr>
      <w:r>
        <w:t>Summary</w:t>
      </w:r>
    </w:p>
    <w:p w:rsidR="00BA6265" w:rsidRDefault="00BA6265" w:rsidP="00877A78">
      <w:r>
        <w:t xml:space="preserve">The four projects have been conducted by the Menzies School of Health Research Ear Health Team as part of their broader research program. The focus on chronic </w:t>
      </w:r>
      <w:proofErr w:type="spellStart"/>
      <w:r>
        <w:t>suppurative</w:t>
      </w:r>
      <w:proofErr w:type="spellEnd"/>
      <w:r>
        <w:t xml:space="preserve"> otitis media (CSOM) is appropriate. CSOM remains the most disabling form of otitis media and it continues to present a major challenge to Australian Aboriginal families and their health care providers. Unfortunately, there is a lack of high quality research addressing this condition. Project 1 has resulted in a </w:t>
      </w:r>
      <w:r w:rsidR="00CB0244">
        <w:t>NHMRC funding</w:t>
      </w:r>
      <w:r>
        <w:t xml:space="preserve"> submission for the largest randomised trial of treatment for CSOM in Aboriginal children. The treatments to be tested are both identified as research priorities by the experts contributing to the Technical Advisory Group of the updated Clinical Care Guidelines. The development of the funding application is a critical first step in linking high quality research studies to better clinical practice in remote Aboriginal communities.</w:t>
      </w:r>
    </w:p>
    <w:p w:rsidR="00BA6265" w:rsidRDefault="00BA6265" w:rsidP="00877A78"/>
    <w:p w:rsidR="00BA6265" w:rsidRDefault="00BA6265" w:rsidP="00877A78">
      <w:r>
        <w:t xml:space="preserve">Projects 2 and 3 have addressed the potential role of mobile phones in improving health outcomes for Aboriginal children with CSOM. The systematic review identified a small number of </w:t>
      </w:r>
      <w:r w:rsidRPr="00EA7750">
        <w:t>trials</w:t>
      </w:r>
      <w:r>
        <w:t xml:space="preserve"> that were conducted in different populations and addressed different conditions. While the results were encouraging, further high quality research will be needed. Project 3 describes the first randomised controlled trial involving Australian Aboriginal families. The study demonstrated that text and MMS messages are acceptable to Aboriginal families from 2 remote Aboriginal communities.  However, use of these messages did not substantially improve clinical practice.</w:t>
      </w:r>
    </w:p>
    <w:p w:rsidR="00BA6265" w:rsidRDefault="00BA6265" w:rsidP="00877A78"/>
    <w:p w:rsidR="00BA6265" w:rsidRDefault="00BA6265" w:rsidP="00877A78">
      <w:r>
        <w:t>Project 4 has provided the latest data on the burden of CSOM in a range of Aboriginal communities in the Northern Territory. Unfortunately, the very high rates of all forms of otitis media persists.  The good news is that the data are consistent with a reduction in the overall rates of CSOM in young children. This information, along with</w:t>
      </w:r>
      <w:r w:rsidRPr="00EA7750">
        <w:t xml:space="preserve"> </w:t>
      </w:r>
      <w:r>
        <w:t xml:space="preserve">current evidence-based treatment recommendations and training, is disseminated to remote community staff by the Menzies Ear Health team and the visiting Northern Territory Government Tele-Otology Outreach Team. Project 4 also highlights the importance of diagnostic accuracy in studies reporting the prevalence of all forms of otitis media. Large differences in estimates of burden of disease are possible if different methods of  diagnosis are used.  For high risk Aboriginal children, there is a need for a consistent diagnostic approach that utilises appropriate technology (tympanometry and video </w:t>
      </w:r>
      <w:proofErr w:type="spellStart"/>
      <w:r>
        <w:t>otoscopy</w:t>
      </w:r>
      <w:proofErr w:type="spellEnd"/>
      <w:r>
        <w:t>) in order to ensure estimates of burden of disease are not</w:t>
      </w:r>
      <w:r>
        <w:rPr>
          <w:b/>
          <w:u w:val="single"/>
        </w:rPr>
        <w:t xml:space="preserve"> </w:t>
      </w:r>
      <w:r>
        <w:t xml:space="preserve">misleading. </w:t>
      </w:r>
    </w:p>
    <w:p w:rsidR="00BA6265" w:rsidRDefault="00BA6265" w:rsidP="00877A78"/>
    <w:p w:rsidR="00BA6265" w:rsidRDefault="00BA6265" w:rsidP="009569A2">
      <w:r>
        <w:t xml:space="preserve">CSOM in remote Aboriginal communities is essentially a disease of poverty. While improvements in the social determinants of health are likely to be beneficial, better primary health care is needed to minimise the impact of this disease on children who have already been affected. These projects have contributed important new information about the current burden of disease and identified some important opportunities for better health in the future. </w:t>
      </w:r>
    </w:p>
    <w:p w:rsidR="00BA6265" w:rsidRDefault="00BA6265" w:rsidP="00747563">
      <w:pPr>
        <w:rPr>
          <w:b/>
        </w:rPr>
      </w:pPr>
      <w:r>
        <w:rPr>
          <w:b/>
        </w:rPr>
        <w:br w:type="page"/>
      </w:r>
    </w:p>
    <w:p w:rsidR="00BA6265" w:rsidRDefault="00BA6265" w:rsidP="00660039">
      <w:pPr>
        <w:rPr>
          <w:b/>
        </w:rPr>
      </w:pPr>
    </w:p>
    <w:p w:rsidR="00BA6265" w:rsidRPr="00BC29AC" w:rsidRDefault="00BA6265" w:rsidP="00BC29AC">
      <w:pPr>
        <w:pStyle w:val="Heading5"/>
        <w:pBdr>
          <w:top w:val="none" w:sz="0" w:space="0" w:color="auto"/>
          <w:left w:val="none" w:sz="0" w:space="0" w:color="auto"/>
          <w:bottom w:val="none" w:sz="0" w:space="0" w:color="auto"/>
          <w:right w:val="none" w:sz="0" w:space="0" w:color="auto"/>
        </w:pBdr>
        <w:jc w:val="center"/>
        <w:rPr>
          <w:sz w:val="28"/>
        </w:rPr>
      </w:pPr>
      <w:r w:rsidRPr="00BC29AC">
        <w:rPr>
          <w:sz w:val="28"/>
        </w:rPr>
        <w:t>REFERENCES</w:t>
      </w:r>
    </w:p>
    <w:p w:rsidR="00BA6265" w:rsidRDefault="00BA6265" w:rsidP="00BC29AC">
      <w:pPr>
        <w:pStyle w:val="Heading6"/>
      </w:pPr>
      <w:r>
        <w:t>Introduction</w:t>
      </w:r>
    </w:p>
    <w:p w:rsidR="00BA6265" w:rsidRDefault="00BA6265" w:rsidP="00660039">
      <w:pPr>
        <w:tabs>
          <w:tab w:val="left" w:pos="2220"/>
          <w:tab w:val="center" w:pos="4819"/>
        </w:tabs>
        <w:rPr>
          <w:b/>
        </w:rPr>
      </w:pPr>
    </w:p>
    <w:p w:rsidR="00BA6265" w:rsidRPr="00B96EAD" w:rsidRDefault="00BA6265" w:rsidP="00B26AF5">
      <w:pPr>
        <w:tabs>
          <w:tab w:val="right" w:pos="360"/>
          <w:tab w:val="left" w:pos="540"/>
        </w:tabs>
        <w:spacing w:after="240"/>
        <w:ind w:left="540" w:hanging="540"/>
      </w:pPr>
      <w:r w:rsidRPr="00B96EAD">
        <w:tab/>
        <w:t xml:space="preserve">1. </w:t>
      </w:r>
      <w:r w:rsidRPr="00B96EAD">
        <w:tab/>
        <w:t xml:space="preserve">Coates HL, Morris PS, Leach AJ, </w:t>
      </w:r>
      <w:proofErr w:type="spellStart"/>
      <w:r w:rsidRPr="00B96EAD">
        <w:t>Couzos</w:t>
      </w:r>
      <w:proofErr w:type="spellEnd"/>
      <w:r w:rsidRPr="00B96EAD">
        <w:t xml:space="preserve"> S. Otitis media in Aboriginal children: tackling a major health problem. Med J </w:t>
      </w:r>
      <w:proofErr w:type="spellStart"/>
      <w:r w:rsidRPr="00B96EAD">
        <w:t>Aust</w:t>
      </w:r>
      <w:proofErr w:type="spellEnd"/>
      <w:r w:rsidRPr="00B96EAD">
        <w:t xml:space="preserve"> 2002; 177:177-178.</w:t>
      </w:r>
    </w:p>
    <w:p w:rsidR="00BA6265" w:rsidRPr="00B96EAD" w:rsidRDefault="00BA6265" w:rsidP="003F6F6B">
      <w:pPr>
        <w:tabs>
          <w:tab w:val="right" w:pos="360"/>
          <w:tab w:val="left" w:pos="540"/>
        </w:tabs>
        <w:spacing w:after="240"/>
        <w:ind w:left="540" w:hanging="540"/>
      </w:pPr>
      <w:r w:rsidRPr="00B96EAD">
        <w:tab/>
        <w:t xml:space="preserve">2. </w:t>
      </w:r>
      <w:r w:rsidRPr="00B96EAD">
        <w:tab/>
        <w:t xml:space="preserve">Leach AJ. Otitis media in Australian Aboriginal children: an overview. </w:t>
      </w:r>
      <w:proofErr w:type="spellStart"/>
      <w:r w:rsidRPr="00B96EAD">
        <w:t>Int</w:t>
      </w:r>
      <w:proofErr w:type="spellEnd"/>
      <w:r w:rsidRPr="00B96EAD">
        <w:t xml:space="preserve"> J </w:t>
      </w:r>
      <w:proofErr w:type="spellStart"/>
      <w:r w:rsidRPr="00B96EAD">
        <w:t>Pediatr</w:t>
      </w:r>
      <w:proofErr w:type="spellEnd"/>
      <w:r w:rsidRPr="00B96EAD">
        <w:t xml:space="preserve"> </w:t>
      </w:r>
      <w:proofErr w:type="spellStart"/>
      <w:r w:rsidRPr="00B96EAD">
        <w:t>Otorhinolaryngol</w:t>
      </w:r>
      <w:proofErr w:type="spellEnd"/>
      <w:r w:rsidRPr="00B96EAD">
        <w:t xml:space="preserve"> 1999; 49 </w:t>
      </w:r>
      <w:proofErr w:type="spellStart"/>
      <w:r w:rsidRPr="00B96EAD">
        <w:t>Suppl</w:t>
      </w:r>
      <w:proofErr w:type="spellEnd"/>
      <w:r w:rsidRPr="00B96EAD">
        <w:t xml:space="preserve"> 1:S173-8:S173-S178.</w:t>
      </w:r>
    </w:p>
    <w:p w:rsidR="00BA6265" w:rsidRPr="00B96EAD" w:rsidRDefault="00BA6265" w:rsidP="003F6F6B">
      <w:pPr>
        <w:tabs>
          <w:tab w:val="right" w:pos="360"/>
          <w:tab w:val="left" w:pos="540"/>
        </w:tabs>
        <w:spacing w:after="240"/>
        <w:ind w:left="540" w:hanging="540"/>
      </w:pPr>
      <w:r w:rsidRPr="00B96EAD">
        <w:tab/>
        <w:t xml:space="preserve">3. </w:t>
      </w:r>
      <w:r w:rsidRPr="00B96EAD">
        <w:tab/>
        <w:t>Morris PS. A systematic review of clinical research addressing the prevalence, aetiology, diagnosis, prognosis and therapy of otitis media in Australian Aboriginal children. Journal of Paediatrics and Child Health 1998; 34(6):487-497.</w:t>
      </w:r>
    </w:p>
    <w:p w:rsidR="00BA6265" w:rsidRPr="00B96EAD" w:rsidRDefault="00BA6265" w:rsidP="003F6F6B">
      <w:pPr>
        <w:tabs>
          <w:tab w:val="right" w:pos="360"/>
          <w:tab w:val="left" w:pos="540"/>
        </w:tabs>
        <w:spacing w:after="240"/>
        <w:ind w:left="540" w:hanging="540"/>
      </w:pPr>
      <w:r w:rsidRPr="00B96EAD">
        <w:tab/>
        <w:t xml:space="preserve">4. </w:t>
      </w:r>
      <w:r w:rsidRPr="00B96EAD">
        <w:tab/>
        <w:t xml:space="preserve">Morris PS, Leach AJ. Acute and chronic otitis media. </w:t>
      </w:r>
      <w:proofErr w:type="spellStart"/>
      <w:r w:rsidRPr="00B96EAD">
        <w:t>Pediatr</w:t>
      </w:r>
      <w:proofErr w:type="spellEnd"/>
      <w:r w:rsidRPr="00B96EAD">
        <w:t xml:space="preserve"> </w:t>
      </w:r>
      <w:proofErr w:type="spellStart"/>
      <w:r w:rsidRPr="00B96EAD">
        <w:t>Clin</w:t>
      </w:r>
      <w:proofErr w:type="spellEnd"/>
      <w:r w:rsidRPr="00B96EAD">
        <w:t xml:space="preserve"> North Am 2009; 56(6):1383-1399.</w:t>
      </w:r>
    </w:p>
    <w:p w:rsidR="00BA6265" w:rsidRPr="00B96EAD" w:rsidRDefault="00BA6265" w:rsidP="003F6F6B">
      <w:pPr>
        <w:tabs>
          <w:tab w:val="right" w:pos="360"/>
          <w:tab w:val="left" w:pos="540"/>
        </w:tabs>
        <w:spacing w:after="240"/>
        <w:ind w:left="540" w:hanging="540"/>
      </w:pPr>
      <w:r w:rsidRPr="00B96EAD">
        <w:tab/>
        <w:t xml:space="preserve">5. </w:t>
      </w:r>
      <w:r w:rsidRPr="00B96EAD">
        <w:tab/>
        <w:t xml:space="preserve">McPherson B. Hearing loss in Australian Aborigines: a critical evaluation. </w:t>
      </w:r>
      <w:proofErr w:type="spellStart"/>
      <w:r w:rsidRPr="00B96EAD">
        <w:t>Aust</w:t>
      </w:r>
      <w:proofErr w:type="spellEnd"/>
      <w:r w:rsidRPr="00B96EAD">
        <w:t xml:space="preserve"> J </w:t>
      </w:r>
      <w:proofErr w:type="spellStart"/>
      <w:r w:rsidRPr="00B96EAD">
        <w:t>Audiol</w:t>
      </w:r>
      <w:proofErr w:type="spellEnd"/>
      <w:r w:rsidRPr="00B96EAD">
        <w:t xml:space="preserve"> 1990; 12:67-78.</w:t>
      </w:r>
    </w:p>
    <w:p w:rsidR="00BA6265" w:rsidRPr="00B96EAD" w:rsidRDefault="00BA6265" w:rsidP="003F6F6B">
      <w:pPr>
        <w:tabs>
          <w:tab w:val="right" w:pos="360"/>
          <w:tab w:val="left" w:pos="540"/>
        </w:tabs>
        <w:spacing w:after="240"/>
        <w:ind w:left="540" w:hanging="540"/>
      </w:pPr>
      <w:r w:rsidRPr="00B96EAD">
        <w:tab/>
        <w:t xml:space="preserve">6. </w:t>
      </w:r>
      <w:r w:rsidRPr="00B96EAD">
        <w:tab/>
        <w:t>Australian Institute of Health and Welfare. Ear and hearing health of Indigenous children in the Northern Territory. Cat. no. IHW 60. Canberra: Australian Government; 2011.</w:t>
      </w:r>
    </w:p>
    <w:p w:rsidR="00BA6265" w:rsidRPr="00B96EAD" w:rsidRDefault="00BA6265" w:rsidP="003F6F6B">
      <w:pPr>
        <w:tabs>
          <w:tab w:val="right" w:pos="360"/>
          <w:tab w:val="left" w:pos="540"/>
        </w:tabs>
        <w:spacing w:after="240"/>
        <w:ind w:left="540" w:hanging="540"/>
      </w:pPr>
      <w:r w:rsidRPr="00B96EAD">
        <w:tab/>
        <w:t xml:space="preserve">7. </w:t>
      </w:r>
      <w:r w:rsidRPr="00B96EAD">
        <w:tab/>
        <w:t xml:space="preserve">Morris PS, Leach AJ, </w:t>
      </w:r>
      <w:proofErr w:type="spellStart"/>
      <w:r w:rsidRPr="00B96EAD">
        <w:t>Halpin</w:t>
      </w:r>
      <w:proofErr w:type="spellEnd"/>
      <w:r w:rsidRPr="00B96EAD">
        <w:t xml:space="preserve"> S et al. An overview of acute otitis media in Australian Aboriginal children living in remote communities. Vaccine 2007; 25(13):2389-2393.</w:t>
      </w:r>
    </w:p>
    <w:p w:rsidR="00BA6265" w:rsidRPr="00B96EAD" w:rsidRDefault="00BA6265" w:rsidP="003F6F6B">
      <w:pPr>
        <w:tabs>
          <w:tab w:val="right" w:pos="360"/>
          <w:tab w:val="left" w:pos="540"/>
        </w:tabs>
        <w:spacing w:after="240"/>
        <w:ind w:left="540" w:hanging="540"/>
      </w:pPr>
      <w:r w:rsidRPr="00B96EAD">
        <w:tab/>
        <w:t xml:space="preserve">8. </w:t>
      </w:r>
      <w:r w:rsidRPr="00B96EAD">
        <w:tab/>
        <w:t>Morris PS. Management of otitis media in a high risk population. Australian Family Physician 1998; 27:1021-1029.</w:t>
      </w:r>
    </w:p>
    <w:p w:rsidR="00BA6265" w:rsidRPr="00B96EAD" w:rsidRDefault="00BA6265" w:rsidP="003F6F6B">
      <w:pPr>
        <w:tabs>
          <w:tab w:val="right" w:pos="360"/>
          <w:tab w:val="left" w:pos="540"/>
        </w:tabs>
        <w:spacing w:after="240"/>
        <w:ind w:left="540" w:hanging="540"/>
      </w:pPr>
      <w:r w:rsidRPr="00B96EAD">
        <w:tab/>
        <w:t xml:space="preserve">9. </w:t>
      </w:r>
      <w:r w:rsidRPr="00B96EAD">
        <w:tab/>
      </w:r>
      <w:proofErr w:type="spellStart"/>
      <w:r w:rsidRPr="00B96EAD">
        <w:t>Macfadyen</w:t>
      </w:r>
      <w:proofErr w:type="spellEnd"/>
      <w:r w:rsidRPr="00B96EAD">
        <w:t xml:space="preserve"> CA, </w:t>
      </w:r>
      <w:proofErr w:type="spellStart"/>
      <w:r w:rsidRPr="00B96EAD">
        <w:t>Acuin</w:t>
      </w:r>
      <w:proofErr w:type="spellEnd"/>
      <w:r w:rsidRPr="00B96EAD">
        <w:t xml:space="preserve"> JM, Gamble C. Systemic antibiotics versus topical treatments for chronically discharging ears with underlying eardrum perforations. Cochrane Database </w:t>
      </w:r>
      <w:proofErr w:type="spellStart"/>
      <w:r w:rsidRPr="00B96EAD">
        <w:t>Syst</w:t>
      </w:r>
      <w:proofErr w:type="spellEnd"/>
      <w:r w:rsidRPr="00B96EAD">
        <w:t xml:space="preserve"> Rev 2006;(1):CD005608.</w:t>
      </w:r>
    </w:p>
    <w:p w:rsidR="00BA6265" w:rsidRPr="00B96EAD" w:rsidRDefault="00BA6265" w:rsidP="003F6F6B">
      <w:pPr>
        <w:tabs>
          <w:tab w:val="right" w:pos="360"/>
          <w:tab w:val="left" w:pos="540"/>
        </w:tabs>
        <w:spacing w:after="240"/>
        <w:ind w:left="540" w:hanging="540"/>
      </w:pPr>
      <w:r w:rsidRPr="00B96EAD">
        <w:tab/>
        <w:t xml:space="preserve">10. </w:t>
      </w:r>
      <w:r w:rsidRPr="00B96EAD">
        <w:tab/>
        <w:t xml:space="preserve">Morris P. Chronic </w:t>
      </w:r>
      <w:proofErr w:type="spellStart"/>
      <w:r w:rsidRPr="00B96EAD">
        <w:t>Suppurative</w:t>
      </w:r>
      <w:proofErr w:type="spellEnd"/>
      <w:r w:rsidRPr="00B96EAD">
        <w:t xml:space="preserve"> Otitis Media. Clinical Evidence [Online] URL- http//www </w:t>
      </w:r>
      <w:proofErr w:type="spellStart"/>
      <w:r w:rsidRPr="00B96EAD">
        <w:t>clinicalevidence</w:t>
      </w:r>
      <w:proofErr w:type="spellEnd"/>
      <w:r w:rsidRPr="00B96EAD">
        <w:t xml:space="preserve"> com/ 2012.</w:t>
      </w:r>
    </w:p>
    <w:p w:rsidR="00BA6265" w:rsidRPr="00B96EAD" w:rsidRDefault="00BA6265" w:rsidP="003F6F6B">
      <w:pPr>
        <w:tabs>
          <w:tab w:val="right" w:pos="360"/>
          <w:tab w:val="left" w:pos="540"/>
        </w:tabs>
        <w:spacing w:after="240"/>
        <w:ind w:left="540" w:hanging="540"/>
      </w:pPr>
      <w:r w:rsidRPr="00B96EAD">
        <w:tab/>
        <w:t xml:space="preserve">11. </w:t>
      </w:r>
      <w:r w:rsidRPr="00B96EAD">
        <w:tab/>
      </w:r>
      <w:proofErr w:type="spellStart"/>
      <w:r w:rsidRPr="00B96EAD">
        <w:t>Fliss</w:t>
      </w:r>
      <w:proofErr w:type="spellEnd"/>
      <w:r w:rsidRPr="00B96EAD">
        <w:t xml:space="preserve"> DM, Dagan R, </w:t>
      </w:r>
      <w:proofErr w:type="spellStart"/>
      <w:r w:rsidRPr="00B96EAD">
        <w:t>Houri</w:t>
      </w:r>
      <w:proofErr w:type="spellEnd"/>
      <w:r w:rsidRPr="00B96EAD">
        <w:t xml:space="preserve"> Z, </w:t>
      </w:r>
      <w:proofErr w:type="spellStart"/>
      <w:r w:rsidRPr="00B96EAD">
        <w:t>Leiberman</w:t>
      </w:r>
      <w:proofErr w:type="spellEnd"/>
      <w:r w:rsidRPr="00B96EAD">
        <w:t xml:space="preserve"> A. Medical management of chronic </w:t>
      </w:r>
      <w:proofErr w:type="spellStart"/>
      <w:r w:rsidRPr="00B96EAD">
        <w:t>suppurative</w:t>
      </w:r>
      <w:proofErr w:type="spellEnd"/>
      <w:r w:rsidRPr="00B96EAD">
        <w:t xml:space="preserve"> otitis media without </w:t>
      </w:r>
      <w:proofErr w:type="spellStart"/>
      <w:r w:rsidRPr="00B96EAD">
        <w:t>cholesteatoma</w:t>
      </w:r>
      <w:proofErr w:type="spellEnd"/>
      <w:r w:rsidRPr="00B96EAD">
        <w:t xml:space="preserve"> in children [see comments]. J </w:t>
      </w:r>
      <w:proofErr w:type="spellStart"/>
      <w:r w:rsidRPr="00B96EAD">
        <w:t>Pediatr</w:t>
      </w:r>
      <w:proofErr w:type="spellEnd"/>
      <w:r w:rsidRPr="00B96EAD">
        <w:t xml:space="preserve"> 1990; 116(6):991-996.</w:t>
      </w:r>
    </w:p>
    <w:p w:rsidR="00BA6265" w:rsidRPr="00B96EAD" w:rsidRDefault="00BA6265" w:rsidP="003F6F6B">
      <w:pPr>
        <w:tabs>
          <w:tab w:val="right" w:pos="360"/>
          <w:tab w:val="left" w:pos="540"/>
        </w:tabs>
        <w:spacing w:after="240"/>
        <w:ind w:left="540" w:hanging="540"/>
      </w:pPr>
      <w:r w:rsidRPr="00B96EAD">
        <w:tab/>
        <w:t xml:space="preserve">12. </w:t>
      </w:r>
      <w:r w:rsidRPr="00B96EAD">
        <w:tab/>
      </w:r>
      <w:proofErr w:type="spellStart"/>
      <w:r w:rsidRPr="00B96EAD">
        <w:t>Kenna</w:t>
      </w:r>
      <w:proofErr w:type="spellEnd"/>
      <w:r w:rsidRPr="00B96EAD">
        <w:t xml:space="preserve"> MA. Treatment of chronic </w:t>
      </w:r>
      <w:proofErr w:type="spellStart"/>
      <w:r w:rsidRPr="00B96EAD">
        <w:t>suppurative</w:t>
      </w:r>
      <w:proofErr w:type="spellEnd"/>
      <w:r w:rsidRPr="00B96EAD">
        <w:t xml:space="preserve"> otitis media. </w:t>
      </w:r>
      <w:proofErr w:type="spellStart"/>
      <w:r w:rsidRPr="00B96EAD">
        <w:t>Otolaryngol</w:t>
      </w:r>
      <w:proofErr w:type="spellEnd"/>
      <w:r w:rsidRPr="00B96EAD">
        <w:t xml:space="preserve"> </w:t>
      </w:r>
      <w:proofErr w:type="spellStart"/>
      <w:r w:rsidRPr="00B96EAD">
        <w:t>Clin</w:t>
      </w:r>
      <w:proofErr w:type="spellEnd"/>
      <w:r w:rsidRPr="00B96EAD">
        <w:t xml:space="preserve"> North Am 1994; 27(3):457-472.</w:t>
      </w:r>
    </w:p>
    <w:p w:rsidR="00BA6265" w:rsidRPr="00B96EAD" w:rsidRDefault="00BA6265" w:rsidP="003F6F6B">
      <w:pPr>
        <w:tabs>
          <w:tab w:val="right" w:pos="360"/>
          <w:tab w:val="left" w:pos="540"/>
        </w:tabs>
        <w:spacing w:after="240"/>
        <w:ind w:left="540" w:hanging="540"/>
      </w:pPr>
      <w:r w:rsidRPr="00B96EAD">
        <w:tab/>
        <w:t xml:space="preserve">13. </w:t>
      </w:r>
      <w:r w:rsidRPr="00B96EAD">
        <w:tab/>
        <w:t>Morris P, Leach A, Shah P et al. Recommendations for Clinical Care Guidelines on the Management of Otitis Media in Aboriginal and Torres Strait Islander Populations (Updated 2010). Canberra: Commonwealth of Australia; 2011.</w:t>
      </w:r>
    </w:p>
    <w:p w:rsidR="00BA6265" w:rsidRDefault="00BA6265" w:rsidP="00BC29AC">
      <w:pPr>
        <w:pStyle w:val="Heading7"/>
      </w:pPr>
      <w:r>
        <w:br w:type="page"/>
      </w:r>
      <w:r>
        <w:lastRenderedPageBreak/>
        <w:t xml:space="preserve">Project 1 </w:t>
      </w:r>
    </w:p>
    <w:p w:rsidR="00BA6265" w:rsidRPr="00B96EAD" w:rsidRDefault="00BA6265" w:rsidP="00660039">
      <w:pPr>
        <w:tabs>
          <w:tab w:val="left" w:pos="2220"/>
          <w:tab w:val="center" w:pos="4819"/>
        </w:tabs>
      </w:pPr>
      <w:r w:rsidRPr="00B96EAD">
        <w:tab/>
      </w:r>
      <w:r w:rsidR="009B5648" w:rsidRPr="00B96EAD">
        <w:fldChar w:fldCharType="begin"/>
      </w:r>
      <w:r w:rsidRPr="00B96EAD">
        <w:instrText xml:space="preserve"> ADDIN REFMGR.REFLIST </w:instrText>
      </w:r>
      <w:r w:rsidR="009B5648" w:rsidRPr="00B96EAD">
        <w:fldChar w:fldCharType="separate"/>
      </w:r>
    </w:p>
    <w:p w:rsidR="00BA6265" w:rsidRPr="00B96EAD" w:rsidRDefault="00BA6265" w:rsidP="00B26AF5">
      <w:pPr>
        <w:tabs>
          <w:tab w:val="right" w:pos="360"/>
          <w:tab w:val="left" w:pos="540"/>
        </w:tabs>
        <w:spacing w:after="240"/>
        <w:ind w:left="540" w:hanging="540"/>
      </w:pPr>
      <w:r w:rsidRPr="00B96EAD">
        <w:tab/>
        <w:t xml:space="preserve">1. </w:t>
      </w:r>
      <w:r w:rsidRPr="00B96EAD">
        <w:tab/>
        <w:t>Coates HL, Morris PS, Leach AJ, Couzos S. Otitis media in Aboriginal children: tackling a major health problem. Med J Aust 2002; 177:177-178.</w:t>
      </w:r>
    </w:p>
    <w:p w:rsidR="00BA6265" w:rsidRPr="00B96EAD" w:rsidRDefault="00BA6265" w:rsidP="00B26AF5">
      <w:pPr>
        <w:tabs>
          <w:tab w:val="right" w:pos="360"/>
          <w:tab w:val="left" w:pos="540"/>
        </w:tabs>
        <w:spacing w:after="240"/>
        <w:ind w:left="540" w:hanging="540"/>
      </w:pPr>
      <w:r w:rsidRPr="00B96EAD">
        <w:tab/>
        <w:t xml:space="preserve">2. </w:t>
      </w:r>
      <w:r w:rsidRPr="00B96EAD">
        <w:tab/>
        <w:t>Leach AJ. Otitis media in Australian Aboriginal children: an overview. Int J Pediatr Otorhinolaryngol 1999; 49 Suppl 1:S173-8:S173-S178.</w:t>
      </w:r>
    </w:p>
    <w:p w:rsidR="00BA6265" w:rsidRPr="00B96EAD" w:rsidRDefault="00BA6265" w:rsidP="00B26AF5">
      <w:pPr>
        <w:tabs>
          <w:tab w:val="right" w:pos="360"/>
          <w:tab w:val="left" w:pos="540"/>
        </w:tabs>
        <w:spacing w:after="240"/>
        <w:ind w:left="540" w:hanging="540"/>
      </w:pPr>
      <w:r w:rsidRPr="00B96EAD">
        <w:tab/>
        <w:t xml:space="preserve">3. </w:t>
      </w:r>
      <w:r w:rsidRPr="00B96EAD">
        <w:tab/>
        <w:t>Morris PS. A systematic review of clinical research addressing the prevalence, aetiology, diagnosis, prognosis and therapy of otitis media in Australian Aboriginal children. Journal of Paediatrics and Child Health 1998; 34(6):487-497.</w:t>
      </w:r>
    </w:p>
    <w:p w:rsidR="00BA6265" w:rsidRPr="00B96EAD" w:rsidRDefault="00BA6265" w:rsidP="00B26AF5">
      <w:pPr>
        <w:tabs>
          <w:tab w:val="right" w:pos="360"/>
          <w:tab w:val="left" w:pos="540"/>
        </w:tabs>
        <w:spacing w:after="240"/>
        <w:ind w:left="540" w:hanging="540"/>
      </w:pPr>
      <w:r w:rsidRPr="00B96EAD">
        <w:tab/>
        <w:t xml:space="preserve">4. </w:t>
      </w:r>
      <w:r w:rsidRPr="00B96EAD">
        <w:tab/>
        <w:t>Morris PS, Leach AJ. Acute and chronic otitis media. Pediatr Clin North Am 2009; 56(6):1383-1399.</w:t>
      </w:r>
    </w:p>
    <w:p w:rsidR="00BA6265" w:rsidRPr="00B96EAD" w:rsidRDefault="00BA6265" w:rsidP="00B26AF5">
      <w:pPr>
        <w:tabs>
          <w:tab w:val="right" w:pos="360"/>
          <w:tab w:val="left" w:pos="540"/>
        </w:tabs>
        <w:spacing w:after="240"/>
        <w:ind w:left="540" w:hanging="540"/>
      </w:pPr>
      <w:r w:rsidRPr="00B96EAD">
        <w:tab/>
        <w:t xml:space="preserve">5. </w:t>
      </w:r>
      <w:r w:rsidRPr="00B96EAD">
        <w:tab/>
        <w:t>McPherson B. Hearing loss in Australian Aborigines: a critical evaluation. Aust J Audiol 1990; 12:67-78.</w:t>
      </w:r>
    </w:p>
    <w:p w:rsidR="00BA6265" w:rsidRPr="00B96EAD" w:rsidRDefault="00BA6265" w:rsidP="00B26AF5">
      <w:pPr>
        <w:tabs>
          <w:tab w:val="right" w:pos="360"/>
          <w:tab w:val="left" w:pos="540"/>
        </w:tabs>
        <w:spacing w:after="240"/>
        <w:ind w:left="540" w:hanging="540"/>
      </w:pPr>
      <w:r w:rsidRPr="00B96EAD">
        <w:tab/>
        <w:t xml:space="preserve">6. </w:t>
      </w:r>
      <w:r w:rsidRPr="00B96EAD">
        <w:tab/>
        <w:t>Australian Institute of Health and Welfare. Ear and hearing health of Indigenous children in the Northern Territory. Cat. no. IHW 60. Canberra: Australian Government; 2011.</w:t>
      </w:r>
    </w:p>
    <w:p w:rsidR="00BA6265" w:rsidRPr="00B96EAD" w:rsidRDefault="00BA6265" w:rsidP="00B26AF5">
      <w:pPr>
        <w:tabs>
          <w:tab w:val="right" w:pos="360"/>
          <w:tab w:val="left" w:pos="540"/>
        </w:tabs>
        <w:spacing w:after="240"/>
        <w:ind w:left="540" w:hanging="540"/>
      </w:pPr>
      <w:r w:rsidRPr="00B96EAD">
        <w:tab/>
        <w:t xml:space="preserve">7. </w:t>
      </w:r>
      <w:r w:rsidRPr="00B96EAD">
        <w:tab/>
        <w:t>Morris PS, Leach AJ, Halpin S et al. An overview of acute otitis media in Australian Aboriginal children living in remote communities. Vaccine 2007; 25(13):2389-2393.</w:t>
      </w:r>
    </w:p>
    <w:p w:rsidR="00BA6265" w:rsidRPr="00B96EAD" w:rsidRDefault="00BA6265" w:rsidP="00B26AF5">
      <w:pPr>
        <w:tabs>
          <w:tab w:val="right" w:pos="360"/>
          <w:tab w:val="left" w:pos="540"/>
        </w:tabs>
        <w:spacing w:after="240"/>
        <w:ind w:left="540" w:hanging="540"/>
      </w:pPr>
      <w:r w:rsidRPr="00B96EAD">
        <w:tab/>
        <w:t xml:space="preserve">8. </w:t>
      </w:r>
      <w:r w:rsidRPr="00B96EAD">
        <w:tab/>
        <w:t>Morris PS. Management of otitis media in a high risk population. Australian Family Physician 1998; 27:1021-1029.</w:t>
      </w:r>
    </w:p>
    <w:p w:rsidR="00BA6265" w:rsidRPr="00B96EAD" w:rsidRDefault="00BA6265" w:rsidP="00B26AF5">
      <w:pPr>
        <w:tabs>
          <w:tab w:val="right" w:pos="360"/>
          <w:tab w:val="left" w:pos="540"/>
        </w:tabs>
        <w:spacing w:after="240"/>
        <w:ind w:left="540" w:hanging="540"/>
      </w:pPr>
      <w:r w:rsidRPr="00B96EAD">
        <w:tab/>
        <w:t xml:space="preserve">9. </w:t>
      </w:r>
      <w:r w:rsidRPr="00B96EAD">
        <w:tab/>
        <w:t>Macfadyen CA, Acuin JM, Gamble C. Systemic antibiotics versus topical treatments for chronically discharging ears with underlying eardrum perforations. Cochrane Database Syst Rev 2006;(1):CD005608.</w:t>
      </w:r>
    </w:p>
    <w:p w:rsidR="00BA6265" w:rsidRPr="00B96EAD" w:rsidRDefault="00BA6265" w:rsidP="00B26AF5">
      <w:pPr>
        <w:tabs>
          <w:tab w:val="right" w:pos="360"/>
          <w:tab w:val="left" w:pos="540"/>
        </w:tabs>
        <w:spacing w:after="240"/>
        <w:ind w:left="540" w:hanging="540"/>
      </w:pPr>
      <w:r w:rsidRPr="00B96EAD">
        <w:tab/>
        <w:t xml:space="preserve">10. </w:t>
      </w:r>
      <w:r w:rsidRPr="00B96EAD">
        <w:tab/>
        <w:t>Morris P. Chronic Suppurative Otitis Media. Clinical Evidence [Online] URL- http//www clinicalevidence com/ 2012.</w:t>
      </w:r>
    </w:p>
    <w:p w:rsidR="00BA6265" w:rsidRPr="00B96EAD" w:rsidRDefault="00BA6265" w:rsidP="00B26AF5">
      <w:pPr>
        <w:tabs>
          <w:tab w:val="right" w:pos="360"/>
          <w:tab w:val="left" w:pos="540"/>
        </w:tabs>
        <w:spacing w:after="240"/>
        <w:ind w:left="540" w:hanging="540"/>
      </w:pPr>
      <w:r w:rsidRPr="00B96EAD">
        <w:tab/>
        <w:t xml:space="preserve">11. </w:t>
      </w:r>
      <w:r w:rsidRPr="00B96EAD">
        <w:tab/>
        <w:t>Fliss DM, Dagan R, Houri Z, Leiberman A. Medical management of chronic suppurative otitis media without cholesteatoma in children [see comments]. J Pediatr 1990; 116(6):991-996.</w:t>
      </w:r>
    </w:p>
    <w:p w:rsidR="00BA6265" w:rsidRPr="00B96EAD" w:rsidRDefault="00BA6265" w:rsidP="00B26AF5">
      <w:pPr>
        <w:tabs>
          <w:tab w:val="right" w:pos="360"/>
          <w:tab w:val="left" w:pos="540"/>
        </w:tabs>
        <w:spacing w:after="240"/>
        <w:ind w:left="540" w:hanging="540"/>
      </w:pPr>
      <w:r w:rsidRPr="00B96EAD">
        <w:tab/>
        <w:t xml:space="preserve">12. </w:t>
      </w:r>
      <w:r w:rsidRPr="00B96EAD">
        <w:tab/>
        <w:t>Kenna MA. Treatment of chronic suppurative otitis media. Otolaryngol Clin North Am 1994; 27(3):457-472.</w:t>
      </w:r>
    </w:p>
    <w:p w:rsidR="00BA6265" w:rsidRPr="00B96EAD" w:rsidRDefault="00BA6265" w:rsidP="00B26AF5">
      <w:pPr>
        <w:tabs>
          <w:tab w:val="right" w:pos="360"/>
          <w:tab w:val="left" w:pos="540"/>
        </w:tabs>
        <w:spacing w:after="240"/>
        <w:ind w:left="540" w:hanging="540"/>
      </w:pPr>
      <w:r w:rsidRPr="00B96EAD">
        <w:tab/>
        <w:t xml:space="preserve">13. </w:t>
      </w:r>
      <w:r w:rsidRPr="00B96EAD">
        <w:tab/>
        <w:t>Morris P, Leach A, Shah P et al. Recommendations for Clinical Care Guidelines on the Management of Otitis Media in Aboriginal and Torres Strait Islander Populations (Updated 2010). Canberra: Commonwealth of Australia; 2011.</w:t>
      </w:r>
    </w:p>
    <w:p w:rsidR="00BA6265" w:rsidRPr="00B96EAD" w:rsidRDefault="00BA6265" w:rsidP="00B26AF5">
      <w:pPr>
        <w:tabs>
          <w:tab w:val="right" w:pos="360"/>
          <w:tab w:val="left" w:pos="540"/>
        </w:tabs>
        <w:spacing w:after="240"/>
        <w:ind w:left="540" w:hanging="540"/>
      </w:pPr>
      <w:r w:rsidRPr="00B96EAD">
        <w:tab/>
        <w:t xml:space="preserve">14. </w:t>
      </w:r>
      <w:r w:rsidRPr="00B96EAD">
        <w:tab/>
        <w:t>Morris PS, Leach AJ, Silberberg P et al. Otitis media in young Aboriginal children from remote communities in Northern and Central Australia: a cross-sectional survey. BMC Pediatr 2005; 20;5:27.</w:t>
      </w:r>
    </w:p>
    <w:p w:rsidR="00BA6265" w:rsidRPr="00B96EAD" w:rsidRDefault="00BA6265" w:rsidP="00B26AF5">
      <w:pPr>
        <w:tabs>
          <w:tab w:val="right" w:pos="360"/>
          <w:tab w:val="left" w:pos="540"/>
        </w:tabs>
        <w:spacing w:after="240"/>
        <w:ind w:left="540" w:hanging="540"/>
      </w:pPr>
      <w:r w:rsidRPr="00B96EAD">
        <w:tab/>
        <w:t xml:space="preserve">15. </w:t>
      </w:r>
      <w:r w:rsidRPr="00B96EAD">
        <w:tab/>
        <w:t>Report of a WHO/CIBA Foundation Workshop. Prevention of Hearing Impairment from Chronic Otitis Media. Geneva: World Health Organisation; 1996.</w:t>
      </w:r>
    </w:p>
    <w:p w:rsidR="00BA6265" w:rsidRPr="00B96EAD" w:rsidRDefault="00BA6265" w:rsidP="00B26AF5">
      <w:pPr>
        <w:tabs>
          <w:tab w:val="right" w:pos="360"/>
          <w:tab w:val="left" w:pos="540"/>
        </w:tabs>
        <w:spacing w:after="240"/>
        <w:ind w:left="540" w:hanging="540"/>
      </w:pPr>
      <w:r w:rsidRPr="00B96EAD">
        <w:tab/>
        <w:t xml:space="preserve">16. </w:t>
      </w:r>
      <w:r w:rsidRPr="00B96EAD">
        <w:tab/>
        <w:t>Couzos S, Lea T, Mueller R, Murray R, Culbong M. Effectiveness of ototopical antibiotics for chronic suppurative otitis media in Aboriginal children: a community-based, multicentre, double-blind randomised controlled trial. Med J Aust 2003; 179(4):185-190.</w:t>
      </w:r>
    </w:p>
    <w:p w:rsidR="00BA6265" w:rsidRPr="00B96EAD" w:rsidRDefault="00BA6265" w:rsidP="00FD18BC">
      <w:pPr>
        <w:tabs>
          <w:tab w:val="right" w:pos="360"/>
          <w:tab w:val="left" w:pos="540"/>
        </w:tabs>
        <w:spacing w:after="240"/>
        <w:ind w:left="540" w:hanging="540"/>
      </w:pPr>
      <w:r w:rsidRPr="00B96EAD">
        <w:lastRenderedPageBreak/>
        <w:tab/>
        <w:t xml:space="preserve">17. </w:t>
      </w:r>
      <w:r w:rsidRPr="00B96EAD">
        <w:tab/>
        <w:t>Stephen A. Unpublished PhD thesis. 2013.</w:t>
      </w:r>
    </w:p>
    <w:p w:rsidR="00BA6265" w:rsidRPr="00B96EAD" w:rsidRDefault="00BA6265" w:rsidP="00FD18BC">
      <w:pPr>
        <w:tabs>
          <w:tab w:val="right" w:pos="360"/>
          <w:tab w:val="left" w:pos="540"/>
        </w:tabs>
        <w:spacing w:after="240"/>
        <w:ind w:left="540" w:hanging="540"/>
      </w:pPr>
      <w:r w:rsidRPr="00B96EAD">
        <w:tab/>
        <w:t xml:space="preserve">18. </w:t>
      </w:r>
      <w:r w:rsidRPr="00B96EAD">
        <w:tab/>
        <w:t>Bluestone CD. Epidemiology and pathogenesis of chronic suppurative otitis media: implications for prevention and treatment. Int J Pediatr Otorhinolaryngol 1998; 42(3):207-223.</w:t>
      </w:r>
    </w:p>
    <w:p w:rsidR="00BA6265" w:rsidRPr="00B96EAD" w:rsidRDefault="00BA6265" w:rsidP="00FD18BC">
      <w:pPr>
        <w:tabs>
          <w:tab w:val="right" w:pos="360"/>
          <w:tab w:val="left" w:pos="540"/>
        </w:tabs>
        <w:spacing w:after="240"/>
        <w:ind w:left="540" w:hanging="540"/>
      </w:pPr>
      <w:r w:rsidRPr="00B96EAD">
        <w:tab/>
        <w:t xml:space="preserve">19. </w:t>
      </w:r>
      <w:r w:rsidRPr="00B96EAD">
        <w:tab/>
        <w:t>Morris PS, Richmond P, Lehmann D, Leach AJ, Gunasekera H, Coates HL. New horizons: otitis media research in Australia. Med J Aust 2009; 191(9 Suppl):S73-S77.</w:t>
      </w:r>
    </w:p>
    <w:p w:rsidR="00BA6265" w:rsidRPr="00B96EAD" w:rsidRDefault="00BA6265" w:rsidP="00FD18BC">
      <w:pPr>
        <w:tabs>
          <w:tab w:val="right" w:pos="360"/>
          <w:tab w:val="left" w:pos="540"/>
        </w:tabs>
        <w:spacing w:after="240"/>
        <w:ind w:left="540" w:hanging="540"/>
      </w:pPr>
      <w:r w:rsidRPr="00B96EAD">
        <w:tab/>
        <w:t xml:space="preserve">20. </w:t>
      </w:r>
      <w:r w:rsidRPr="00B96EAD">
        <w:tab/>
        <w:t>Coates H, Vijayasekaran S. Bacterial biofilm in chronic suppurative otitis media. Otolaryngol Head Neck Surg 2010; 142(5):778.</w:t>
      </w:r>
    </w:p>
    <w:p w:rsidR="00BA6265" w:rsidRPr="00B96EAD" w:rsidRDefault="00BA6265" w:rsidP="00FD18BC">
      <w:pPr>
        <w:tabs>
          <w:tab w:val="right" w:pos="360"/>
          <w:tab w:val="left" w:pos="540"/>
        </w:tabs>
        <w:spacing w:after="240"/>
        <w:ind w:left="540" w:hanging="540"/>
      </w:pPr>
      <w:r w:rsidRPr="00B96EAD">
        <w:tab/>
        <w:t xml:space="preserve">21. </w:t>
      </w:r>
      <w:r w:rsidRPr="00B96EAD">
        <w:tab/>
        <w:t>Thornton RB, Rigby PJ, Wiertsema SP et al. Multi-species bacterial biofilm and intracellular infection in otitis media. BMC Pediatr 2011; 11:94.</w:t>
      </w:r>
    </w:p>
    <w:p w:rsidR="00BA6265" w:rsidRPr="00B96EAD" w:rsidRDefault="00BA6265" w:rsidP="00FD18BC">
      <w:pPr>
        <w:tabs>
          <w:tab w:val="right" w:pos="360"/>
          <w:tab w:val="left" w:pos="540"/>
        </w:tabs>
        <w:spacing w:after="240"/>
        <w:ind w:left="540" w:hanging="540"/>
      </w:pPr>
      <w:r w:rsidRPr="00B96EAD">
        <w:tab/>
        <w:t xml:space="preserve">22. </w:t>
      </w:r>
      <w:r w:rsidRPr="00B96EAD">
        <w:tab/>
        <w:t>Leach A, Wood Y, Gadil E, Stubbs E, Morris P. Topical ciprofloxin versus topical framycetin-gramicidin-dexamethasone in Australian aboriginal children with recently treated chronic suppurative otitis media: a randomized controlled trial. Pediatr Infect Dis J 2008; 27(8):692-698.</w:t>
      </w:r>
    </w:p>
    <w:p w:rsidR="00BA6265" w:rsidRPr="00B96EAD" w:rsidRDefault="00BA6265" w:rsidP="00FD18BC">
      <w:pPr>
        <w:tabs>
          <w:tab w:val="right" w:pos="360"/>
          <w:tab w:val="left" w:pos="540"/>
        </w:tabs>
        <w:spacing w:after="240"/>
        <w:ind w:left="540" w:hanging="540"/>
      </w:pPr>
      <w:r w:rsidRPr="00B96EAD">
        <w:tab/>
        <w:t xml:space="preserve">23. </w:t>
      </w:r>
      <w:r w:rsidRPr="00B96EAD">
        <w:tab/>
        <w:t>Jaya C, Job A, Mathai E, Antonisamy B. Evaluation of topical povidone-iodine in chronic suppurative otitis media. Arch Otolaryngol Head Neck Surg 2003; 129(10):1098-1100.</w:t>
      </w:r>
    </w:p>
    <w:p w:rsidR="00BA6265" w:rsidRPr="00B96EAD" w:rsidRDefault="00BA6265" w:rsidP="00FD18BC">
      <w:pPr>
        <w:tabs>
          <w:tab w:val="right" w:pos="360"/>
          <w:tab w:val="left" w:pos="540"/>
        </w:tabs>
        <w:spacing w:after="240"/>
        <w:ind w:left="540" w:hanging="540"/>
      </w:pPr>
      <w:r w:rsidRPr="00B96EAD">
        <w:tab/>
        <w:t xml:space="preserve">24. </w:t>
      </w:r>
      <w:r w:rsidRPr="00B96EAD">
        <w:tab/>
        <w:t>Esposito S, D'Errico G, Montanaro C. Topical and oral treatment of chronic otitis media with ciprofloxacin. A preliminary study. Arch Otolaryngol Head Neck Surg 1990; 116(5):557-559.</w:t>
      </w:r>
    </w:p>
    <w:p w:rsidR="00BA6265" w:rsidRPr="00B96EAD" w:rsidRDefault="00BA6265" w:rsidP="00FD18BC">
      <w:pPr>
        <w:tabs>
          <w:tab w:val="right" w:pos="360"/>
          <w:tab w:val="left" w:pos="540"/>
        </w:tabs>
        <w:spacing w:after="240"/>
        <w:ind w:left="540" w:hanging="540"/>
      </w:pPr>
      <w:r w:rsidRPr="00B96EAD">
        <w:tab/>
        <w:t xml:space="preserve">25. </w:t>
      </w:r>
      <w:r w:rsidRPr="00B96EAD">
        <w:tab/>
        <w:t>Supiyaphun P, Kerekhanjanarong V, Koranasophonepun J, Sastarasadhit V. Comparison of ofloxacin otic solution with oral amoxycillin plus chloramphenicol ear drop in treatment of chronic suppurative otitis media with acute exacerbation. J Med Assoc Thai 2000; 83(1):61-68.</w:t>
      </w:r>
    </w:p>
    <w:p w:rsidR="00BA6265" w:rsidRPr="00B96EAD" w:rsidRDefault="00BA6265" w:rsidP="00FD18BC">
      <w:pPr>
        <w:tabs>
          <w:tab w:val="right" w:pos="360"/>
          <w:tab w:val="left" w:pos="540"/>
        </w:tabs>
        <w:spacing w:after="240"/>
        <w:ind w:left="540" w:hanging="540"/>
      </w:pPr>
      <w:r w:rsidRPr="00B96EAD">
        <w:tab/>
        <w:t xml:space="preserve">26. </w:t>
      </w:r>
      <w:r w:rsidRPr="00B96EAD">
        <w:tab/>
        <w:t>van der Veen EL, Rovers MM, Albers FW, Sanders EA, Schilder AG. Effectiveness of trimethoprim/sulfamethoxazole for children with chronic active otitis media: a randomized, placebo-controlled trial. Pediatrics 2007; 119(5):897-904.</w:t>
      </w:r>
    </w:p>
    <w:p w:rsidR="00BA6265" w:rsidRPr="00B96EAD" w:rsidRDefault="00BA6265" w:rsidP="00FD18BC">
      <w:pPr>
        <w:tabs>
          <w:tab w:val="right" w:pos="360"/>
          <w:tab w:val="left" w:pos="540"/>
        </w:tabs>
        <w:spacing w:after="240"/>
        <w:ind w:left="540" w:hanging="540"/>
      </w:pPr>
      <w:r w:rsidRPr="00B96EAD">
        <w:tab/>
        <w:t xml:space="preserve">27. </w:t>
      </w:r>
      <w:r w:rsidRPr="00B96EAD">
        <w:tab/>
        <w:t>Leach AJ, Morris PS. Antibiotics for the prevention of acute and chronic suppurative otitis media in children. Cochrane Database Syst Rev 2011;(4):CD004401.</w:t>
      </w:r>
    </w:p>
    <w:p w:rsidR="00BA6265" w:rsidRPr="00B96EAD" w:rsidRDefault="00BA6265" w:rsidP="00FD18BC">
      <w:pPr>
        <w:tabs>
          <w:tab w:val="right" w:pos="360"/>
          <w:tab w:val="left" w:pos="540"/>
        </w:tabs>
        <w:spacing w:after="240"/>
        <w:ind w:left="540" w:hanging="540"/>
      </w:pPr>
      <w:r w:rsidRPr="00B96EAD">
        <w:tab/>
        <w:t xml:space="preserve">28. </w:t>
      </w:r>
      <w:r w:rsidRPr="00B96EAD">
        <w:tab/>
        <w:t>Smith AW, Hatcher J, Mackenzie IJ et al. Randomised controlled trial of treatment of chronic suppurative otitis media in Kenyan schoolchildren [see comments]. Lancet 1996; 348(9035):1128-1133.</w:t>
      </w:r>
    </w:p>
    <w:p w:rsidR="00BA6265" w:rsidRPr="00B96EAD" w:rsidRDefault="00BA6265" w:rsidP="00FD18BC">
      <w:pPr>
        <w:tabs>
          <w:tab w:val="right" w:pos="360"/>
          <w:tab w:val="left" w:pos="540"/>
        </w:tabs>
        <w:spacing w:after="240"/>
        <w:ind w:left="540" w:hanging="540"/>
      </w:pPr>
      <w:r w:rsidRPr="00B96EAD">
        <w:tab/>
        <w:t xml:space="preserve">29. </w:t>
      </w:r>
      <w:r w:rsidRPr="00B96EAD">
        <w:tab/>
        <w:t>Leach AJ, Morris PS, Mathews JD. Compared to placebo, long-term antibiotics resolve otitis media with effusion (OME) and prevent acute otitis media with perforation (AOMwiP) in a high-risk population: a randomized controlled trial. BMC Pediatr 2008; 8(1):23.</w:t>
      </w:r>
    </w:p>
    <w:p w:rsidR="00BA6265" w:rsidRPr="00B96EAD" w:rsidRDefault="00BA6265" w:rsidP="00FD18BC">
      <w:pPr>
        <w:tabs>
          <w:tab w:val="right" w:pos="360"/>
          <w:tab w:val="left" w:pos="540"/>
        </w:tabs>
        <w:spacing w:after="240"/>
        <w:ind w:left="540" w:hanging="540"/>
      </w:pPr>
      <w:r w:rsidRPr="00B96EAD">
        <w:tab/>
        <w:t xml:space="preserve">30. </w:t>
      </w:r>
      <w:r w:rsidRPr="00B96EAD">
        <w:tab/>
        <w:t>James AL, Papsin BC. Ten top considerations in pediatric tympanoplasty. Otolaryngol Head Neck Surg 2012; 147(6):992-998.</w:t>
      </w:r>
    </w:p>
    <w:p w:rsidR="00BA6265" w:rsidRPr="00B96EAD" w:rsidRDefault="00BA6265" w:rsidP="00FD18BC">
      <w:pPr>
        <w:tabs>
          <w:tab w:val="right" w:pos="360"/>
          <w:tab w:val="left" w:pos="540"/>
        </w:tabs>
        <w:spacing w:after="240"/>
        <w:ind w:left="540" w:hanging="540"/>
      </w:pPr>
      <w:r w:rsidRPr="00B96EAD">
        <w:tab/>
        <w:t xml:space="preserve">31. </w:t>
      </w:r>
      <w:r w:rsidRPr="00B96EAD">
        <w:tab/>
        <w:t>Slade GD, Bailie RS, Roberts-Thomson K et al. Effect of health promotion and fluoride varnish on dental caries among Australian Aboriginal children: results from a community-randomized controlled trial. Community Dent Oral Epidemiol 2011; 39(1):29-43.</w:t>
      </w:r>
    </w:p>
    <w:p w:rsidR="00BA6265" w:rsidRPr="00B96EAD" w:rsidRDefault="00BA6265" w:rsidP="003F41E8">
      <w:pPr>
        <w:tabs>
          <w:tab w:val="left" w:pos="567"/>
        </w:tabs>
        <w:spacing w:after="240"/>
        <w:ind w:left="567" w:hanging="567"/>
      </w:pPr>
      <w:r w:rsidRPr="00B96EAD">
        <w:t xml:space="preserve">32. </w:t>
      </w:r>
      <w:r w:rsidRPr="00B96EAD">
        <w:tab/>
        <w:t>Morris PS, Gadil G, McCallum GB et al. Single-dose azithromycin versus seven days of amoxycillin in the treatment of acute otitis media in Aboriginal children (AATAAC): a double blind, randomised controlled trial. Med J Aust 2010; 192(1):24-29.</w:t>
      </w:r>
    </w:p>
    <w:p w:rsidR="00BA6265" w:rsidRPr="00B96EAD" w:rsidRDefault="00BA6265" w:rsidP="00FD18BC">
      <w:pPr>
        <w:tabs>
          <w:tab w:val="right" w:pos="360"/>
          <w:tab w:val="left" w:pos="540"/>
        </w:tabs>
        <w:spacing w:after="240"/>
        <w:ind w:left="540" w:hanging="540"/>
      </w:pPr>
      <w:r w:rsidRPr="00B96EAD">
        <w:lastRenderedPageBreak/>
        <w:tab/>
        <w:t xml:space="preserve">33. </w:t>
      </w:r>
      <w:r w:rsidRPr="00B96EAD">
        <w:tab/>
        <w:t>Tong SY, Lilliebridge RA, Bishop EJ et al. Clinical correlates of Panton-Valentine leukocidin (PVL), PVL isoforms, and clonal complex in the Staphylococcus aureus population of Northern Australia. J Infect Dis 2010; 202(5):760-769.</w:t>
      </w:r>
    </w:p>
    <w:p w:rsidR="00BA6265" w:rsidRPr="00B96EAD" w:rsidRDefault="00BA6265" w:rsidP="00FD18BC">
      <w:pPr>
        <w:tabs>
          <w:tab w:val="right" w:pos="360"/>
          <w:tab w:val="left" w:pos="540"/>
        </w:tabs>
        <w:spacing w:after="240"/>
        <w:ind w:left="540" w:hanging="540"/>
      </w:pPr>
      <w:r w:rsidRPr="00B96EAD">
        <w:tab/>
        <w:t xml:space="preserve">34. </w:t>
      </w:r>
      <w:r w:rsidRPr="00B96EAD">
        <w:tab/>
        <w:t>Coates H, Vijayasekaran S, Mackendrick A, Leidwinger L. Aboriginal Ear Health Manual. 2008.</w:t>
      </w:r>
    </w:p>
    <w:p w:rsidR="00BA6265" w:rsidRPr="00B96EAD" w:rsidRDefault="00BA6265" w:rsidP="00660039">
      <w:pPr>
        <w:tabs>
          <w:tab w:val="right" w:pos="360"/>
          <w:tab w:val="left" w:pos="540"/>
        </w:tabs>
        <w:ind w:left="540"/>
      </w:pPr>
    </w:p>
    <w:p w:rsidR="00BA6265" w:rsidRDefault="009B5648" w:rsidP="00660039">
      <w:pPr>
        <w:tabs>
          <w:tab w:val="right" w:pos="360"/>
          <w:tab w:val="left" w:pos="540"/>
        </w:tabs>
        <w:ind w:left="540"/>
      </w:pPr>
      <w:r w:rsidRPr="00B96EAD">
        <w:fldChar w:fldCharType="end"/>
      </w:r>
    </w:p>
    <w:p w:rsidR="00BA6265" w:rsidRDefault="00BA6265">
      <w:r>
        <w:br w:type="page"/>
      </w:r>
    </w:p>
    <w:p w:rsidR="00BA6265" w:rsidRPr="00B5046B" w:rsidRDefault="00BA6265" w:rsidP="00085013">
      <w:pPr>
        <w:tabs>
          <w:tab w:val="right" w:pos="360"/>
          <w:tab w:val="left" w:pos="540"/>
        </w:tabs>
        <w:ind w:left="540" w:hanging="540"/>
        <w:rPr>
          <w:i/>
        </w:rPr>
      </w:pPr>
      <w:r w:rsidRPr="00BC29AC">
        <w:rPr>
          <w:rStyle w:val="Heading7Char"/>
        </w:rPr>
        <w:lastRenderedPageBreak/>
        <w:t>Project 2</w:t>
      </w:r>
      <w:r w:rsidRPr="00B5046B">
        <w:rPr>
          <w:b/>
        </w:rPr>
        <w:t xml:space="preserve"> (</w:t>
      </w:r>
      <w:r w:rsidRPr="00B5046B">
        <w:rPr>
          <w:i/>
        </w:rPr>
        <w:t>Systematic Review)</w:t>
      </w:r>
    </w:p>
    <w:p w:rsidR="00BA6265" w:rsidRPr="00B5046B" w:rsidRDefault="00BA6265" w:rsidP="00085013">
      <w:pPr>
        <w:tabs>
          <w:tab w:val="right" w:pos="360"/>
          <w:tab w:val="left" w:pos="540"/>
        </w:tabs>
        <w:ind w:hanging="540"/>
      </w:pPr>
    </w:p>
    <w:p w:rsidR="00BA6265" w:rsidRPr="00B5046B" w:rsidRDefault="00BA6265" w:rsidP="00085013">
      <w:pPr>
        <w:tabs>
          <w:tab w:val="right" w:pos="360"/>
          <w:tab w:val="left" w:pos="540"/>
        </w:tabs>
        <w:spacing w:after="240"/>
        <w:ind w:left="540" w:hanging="540"/>
      </w:pPr>
      <w:r w:rsidRPr="00B5046B">
        <w:tab/>
        <w:t xml:space="preserve">1. </w:t>
      </w:r>
      <w:r w:rsidRPr="00B5046B">
        <w:tab/>
        <w:t>Fielding D, Duff A. Compliance with treatment protocols: interventions for children with chronic illness. Arch Dis Child 1999; 80: 196-200.</w:t>
      </w:r>
    </w:p>
    <w:p w:rsidR="00BA6265" w:rsidRPr="00B5046B" w:rsidRDefault="00BA6265" w:rsidP="00085013">
      <w:pPr>
        <w:tabs>
          <w:tab w:val="right" w:pos="360"/>
          <w:tab w:val="left" w:pos="540"/>
        </w:tabs>
        <w:spacing w:after="240"/>
        <w:ind w:left="540" w:hanging="540"/>
      </w:pPr>
      <w:r w:rsidRPr="00B5046B">
        <w:tab/>
        <w:t xml:space="preserve">2. </w:t>
      </w:r>
      <w:r w:rsidRPr="00B5046B">
        <w:tab/>
        <w:t xml:space="preserve">Nock MK, </w:t>
      </w:r>
      <w:proofErr w:type="spellStart"/>
      <w:r w:rsidRPr="00B5046B">
        <w:t>Ferriter</w:t>
      </w:r>
      <w:proofErr w:type="spellEnd"/>
      <w:r w:rsidRPr="00B5046B">
        <w:t xml:space="preserve"> C. Parent management of attendance and adherence in child and adolescent therapy: a conceptual and empirical review. </w:t>
      </w:r>
      <w:proofErr w:type="spellStart"/>
      <w:r w:rsidRPr="00B5046B">
        <w:t>Clin</w:t>
      </w:r>
      <w:proofErr w:type="spellEnd"/>
      <w:r w:rsidRPr="00B5046B">
        <w:t xml:space="preserve"> Child </w:t>
      </w:r>
      <w:proofErr w:type="spellStart"/>
      <w:r w:rsidRPr="00B5046B">
        <w:t>Fam</w:t>
      </w:r>
      <w:proofErr w:type="spellEnd"/>
      <w:r w:rsidRPr="00B5046B">
        <w:t xml:space="preserve"> </w:t>
      </w:r>
      <w:proofErr w:type="spellStart"/>
      <w:r w:rsidRPr="00B5046B">
        <w:t>Psychol</w:t>
      </w:r>
      <w:proofErr w:type="spellEnd"/>
      <w:r w:rsidRPr="00B5046B">
        <w:t xml:space="preserve"> Rev 2005; 8: 149-166.</w:t>
      </w:r>
    </w:p>
    <w:p w:rsidR="00BA6265" w:rsidRPr="00B5046B" w:rsidRDefault="00BA6265" w:rsidP="00085013">
      <w:pPr>
        <w:tabs>
          <w:tab w:val="right" w:pos="360"/>
          <w:tab w:val="left" w:pos="540"/>
        </w:tabs>
        <w:spacing w:after="240"/>
        <w:ind w:left="540" w:hanging="540"/>
      </w:pPr>
      <w:r w:rsidRPr="00B5046B">
        <w:tab/>
        <w:t xml:space="preserve">3. </w:t>
      </w:r>
      <w:r w:rsidRPr="00B5046B">
        <w:tab/>
        <w:t xml:space="preserve">Otero S, </w:t>
      </w:r>
      <w:proofErr w:type="spellStart"/>
      <w:r w:rsidRPr="00B5046B">
        <w:t>Hodes</w:t>
      </w:r>
      <w:proofErr w:type="spellEnd"/>
      <w:r w:rsidRPr="00B5046B">
        <w:t xml:space="preserve"> M. Maternal expressed emotion and treatment compliance of children with epilepsy. </w:t>
      </w:r>
      <w:proofErr w:type="spellStart"/>
      <w:r w:rsidRPr="00B5046B">
        <w:t>Dev</w:t>
      </w:r>
      <w:proofErr w:type="spellEnd"/>
      <w:r w:rsidRPr="00B5046B">
        <w:t xml:space="preserve"> Med Child </w:t>
      </w:r>
      <w:proofErr w:type="spellStart"/>
      <w:r w:rsidRPr="00B5046B">
        <w:t>Neurol</w:t>
      </w:r>
      <w:proofErr w:type="spellEnd"/>
      <w:r w:rsidRPr="00B5046B">
        <w:t xml:space="preserve"> 2000; 42: 604-608.</w:t>
      </w:r>
    </w:p>
    <w:p w:rsidR="00BA6265" w:rsidRPr="00B5046B" w:rsidRDefault="00BA6265" w:rsidP="00085013">
      <w:pPr>
        <w:tabs>
          <w:tab w:val="right" w:pos="360"/>
          <w:tab w:val="left" w:pos="540"/>
        </w:tabs>
        <w:spacing w:after="240"/>
        <w:ind w:left="540" w:hanging="540"/>
      </w:pPr>
      <w:r>
        <w:tab/>
        <w:t>4</w:t>
      </w:r>
      <w:r w:rsidRPr="00B5046B">
        <w:t xml:space="preserve">. </w:t>
      </w:r>
      <w:r w:rsidRPr="00B5046B">
        <w:tab/>
      </w:r>
      <w:proofErr w:type="spellStart"/>
      <w:r w:rsidRPr="00B5046B">
        <w:t>Devitt</w:t>
      </w:r>
      <w:proofErr w:type="spellEnd"/>
      <w:r w:rsidRPr="00B5046B">
        <w:t xml:space="preserve"> J, Hall G, </w:t>
      </w:r>
      <w:proofErr w:type="spellStart"/>
      <w:r w:rsidRPr="00B5046B">
        <w:t>Tsey</w:t>
      </w:r>
      <w:proofErr w:type="spellEnd"/>
      <w:r w:rsidRPr="00B5046B">
        <w:t xml:space="preserve"> K. Underlying causes. In </w:t>
      </w:r>
      <w:r w:rsidRPr="00B5046B">
        <w:rPr>
          <w:i/>
        </w:rPr>
        <w:t>The Health and Welfare of Territorians</w:t>
      </w:r>
      <w:r w:rsidRPr="00B5046B">
        <w:t xml:space="preserve">. edition. Edited by Condon J, </w:t>
      </w:r>
      <w:proofErr w:type="spellStart"/>
      <w:r w:rsidRPr="00B5046B">
        <w:t>Warman</w:t>
      </w:r>
      <w:proofErr w:type="spellEnd"/>
      <w:r w:rsidRPr="00B5046B">
        <w:t xml:space="preserve"> G, Arnold L. Darwin: Epidemiology Branch, Territory Health Services. 2001; 9-18.</w:t>
      </w:r>
    </w:p>
    <w:p w:rsidR="00BA6265" w:rsidRPr="00B5046B" w:rsidRDefault="00BA6265" w:rsidP="00085013">
      <w:pPr>
        <w:tabs>
          <w:tab w:val="right" w:pos="360"/>
          <w:tab w:val="left" w:pos="540"/>
        </w:tabs>
        <w:spacing w:after="240"/>
        <w:ind w:left="540" w:hanging="540"/>
      </w:pPr>
      <w:r>
        <w:tab/>
        <w:t>5</w:t>
      </w:r>
      <w:r w:rsidRPr="00B5046B">
        <w:t xml:space="preserve">. </w:t>
      </w:r>
      <w:r w:rsidRPr="00B5046B">
        <w:tab/>
        <w:t>McDonald EL. Closing the Gap and Indigenous housing</w:t>
      </w:r>
      <w:r w:rsidRPr="00B5046B">
        <w:rPr>
          <w:b/>
        </w:rPr>
        <w:t>.</w:t>
      </w:r>
      <w:r w:rsidRPr="00B5046B">
        <w:t xml:space="preserve"> Med J </w:t>
      </w:r>
      <w:proofErr w:type="spellStart"/>
      <w:r w:rsidRPr="00B5046B">
        <w:t>Aust</w:t>
      </w:r>
      <w:proofErr w:type="spellEnd"/>
      <w:r w:rsidRPr="00B5046B">
        <w:t xml:space="preserve"> 2011; 195: 652-653.</w:t>
      </w:r>
    </w:p>
    <w:p w:rsidR="00BA6265" w:rsidRPr="00B5046B" w:rsidRDefault="00BA6265" w:rsidP="00085013">
      <w:pPr>
        <w:tabs>
          <w:tab w:val="right" w:pos="360"/>
          <w:tab w:val="left" w:pos="540"/>
        </w:tabs>
        <w:spacing w:after="240"/>
        <w:ind w:left="540" w:hanging="540"/>
      </w:pPr>
      <w:r>
        <w:tab/>
        <w:t>6</w:t>
      </w:r>
      <w:r w:rsidRPr="00B5046B">
        <w:t xml:space="preserve">. </w:t>
      </w:r>
      <w:r w:rsidRPr="00B5046B">
        <w:tab/>
        <w:t>McDonald E, Bailie R, Grace J, Brewster D. A case study of physical and social barriers to hygiene and child growth in remote Australian Aboriginal communities. BMC Public Health 2009; 9: 346.</w:t>
      </w:r>
    </w:p>
    <w:p w:rsidR="00BA6265" w:rsidRPr="00D67557" w:rsidRDefault="00BA6265" w:rsidP="00085013">
      <w:pPr>
        <w:tabs>
          <w:tab w:val="right" w:pos="360"/>
          <w:tab w:val="left" w:pos="540"/>
        </w:tabs>
        <w:spacing w:after="240"/>
        <w:ind w:left="540" w:hanging="540"/>
      </w:pPr>
      <w:r>
        <w:tab/>
        <w:t>7</w:t>
      </w:r>
      <w:r w:rsidRPr="00B5046B">
        <w:t xml:space="preserve">. </w:t>
      </w:r>
      <w:r w:rsidRPr="00B5046B">
        <w:tab/>
      </w:r>
      <w:r>
        <w:t xml:space="preserve">Li SQ, Guthridge SL, </w:t>
      </w:r>
      <w:proofErr w:type="spellStart"/>
      <w:r>
        <w:t>Tursan</w:t>
      </w:r>
      <w:proofErr w:type="spellEnd"/>
      <w:r>
        <w:t xml:space="preserve"> </w:t>
      </w:r>
      <w:proofErr w:type="spellStart"/>
      <w:r>
        <w:t>d’Espaignet</w:t>
      </w:r>
      <w:proofErr w:type="spellEnd"/>
      <w:r>
        <w:t xml:space="preserve"> E, Paterson BA: </w:t>
      </w:r>
      <w:r>
        <w:rPr>
          <w:i/>
        </w:rPr>
        <w:t>From Infancy to Young Adulthood: Health status in the Northern Territory, 2006.</w:t>
      </w:r>
      <w:r>
        <w:t xml:space="preserve"> Darwin: Department of Health and Community Services; 2007.</w:t>
      </w:r>
    </w:p>
    <w:p w:rsidR="00BA6265" w:rsidRPr="00B5046B" w:rsidRDefault="00BA6265" w:rsidP="00085013">
      <w:pPr>
        <w:tabs>
          <w:tab w:val="right" w:pos="360"/>
          <w:tab w:val="left" w:pos="540"/>
        </w:tabs>
        <w:spacing w:after="240"/>
        <w:ind w:left="540" w:hanging="540"/>
      </w:pPr>
      <w:r w:rsidRPr="00B5046B">
        <w:tab/>
      </w:r>
      <w:r>
        <w:t>8</w:t>
      </w:r>
      <w:r w:rsidRPr="00B5046B">
        <w:t xml:space="preserve">. </w:t>
      </w:r>
      <w:r w:rsidRPr="00B5046B">
        <w:tab/>
        <w:t xml:space="preserve">Chang AB, </w:t>
      </w:r>
      <w:proofErr w:type="spellStart"/>
      <w:r w:rsidRPr="00B5046B">
        <w:t>Grimwood</w:t>
      </w:r>
      <w:proofErr w:type="spellEnd"/>
      <w:r w:rsidRPr="00B5046B">
        <w:t xml:space="preserve"> K, Mulholland EK, </w:t>
      </w:r>
      <w:proofErr w:type="spellStart"/>
      <w:r w:rsidRPr="00B5046B">
        <w:t>Torzillo</w:t>
      </w:r>
      <w:proofErr w:type="spellEnd"/>
      <w:r w:rsidRPr="00B5046B">
        <w:t xml:space="preserve"> PJ. Bronchiectasis in Indigenous children in remote Australian communities. Med J </w:t>
      </w:r>
      <w:proofErr w:type="spellStart"/>
      <w:r w:rsidRPr="00B5046B">
        <w:t>Aust</w:t>
      </w:r>
      <w:proofErr w:type="spellEnd"/>
      <w:r w:rsidRPr="00B5046B">
        <w:t xml:space="preserve"> 2002; 177: 200-204.</w:t>
      </w:r>
    </w:p>
    <w:p w:rsidR="00BA6265" w:rsidRPr="00B5046B" w:rsidRDefault="00BA6265" w:rsidP="00085013">
      <w:pPr>
        <w:tabs>
          <w:tab w:val="right" w:pos="360"/>
          <w:tab w:val="left" w:pos="540"/>
        </w:tabs>
        <w:spacing w:after="240"/>
        <w:ind w:left="540" w:hanging="540"/>
      </w:pPr>
      <w:r w:rsidRPr="00B5046B">
        <w:tab/>
      </w:r>
      <w:r>
        <w:t>9</w:t>
      </w:r>
      <w:r w:rsidRPr="00B5046B">
        <w:t xml:space="preserve">. </w:t>
      </w:r>
      <w:r w:rsidRPr="00B5046B">
        <w:tab/>
        <w:t xml:space="preserve">Chang AB, Bell SC, Byrnes CA, </w:t>
      </w:r>
      <w:proofErr w:type="spellStart"/>
      <w:r w:rsidRPr="00B5046B">
        <w:t>Grimwood</w:t>
      </w:r>
      <w:proofErr w:type="spellEnd"/>
      <w:r w:rsidRPr="00B5046B">
        <w:t xml:space="preserve"> K, Holmes PW, King PT </w:t>
      </w:r>
      <w:r w:rsidRPr="00B5046B">
        <w:rPr>
          <w:i/>
        </w:rPr>
        <w:t>et al</w:t>
      </w:r>
      <w:r w:rsidRPr="00B5046B">
        <w:t xml:space="preserve">. Chronic </w:t>
      </w:r>
      <w:proofErr w:type="spellStart"/>
      <w:r w:rsidRPr="00B5046B">
        <w:t>suppurative</w:t>
      </w:r>
      <w:proofErr w:type="spellEnd"/>
      <w:r w:rsidRPr="00B5046B">
        <w:t xml:space="preserve"> lung disease and bronchiectasis in children and adults in Australia and New Zealand. Med J </w:t>
      </w:r>
      <w:proofErr w:type="spellStart"/>
      <w:r w:rsidRPr="00B5046B">
        <w:t>Aust</w:t>
      </w:r>
      <w:proofErr w:type="spellEnd"/>
      <w:r w:rsidRPr="00B5046B">
        <w:t xml:space="preserve"> 2010; 193</w:t>
      </w:r>
      <w:r w:rsidRPr="00B5046B">
        <w:rPr>
          <w:b/>
        </w:rPr>
        <w:t>:</w:t>
      </w:r>
      <w:r w:rsidRPr="00B5046B">
        <w:t xml:space="preserve"> 356-365.</w:t>
      </w:r>
    </w:p>
    <w:p w:rsidR="00BA6265" w:rsidRPr="00B5046B" w:rsidRDefault="00BA6265" w:rsidP="00085013">
      <w:pPr>
        <w:tabs>
          <w:tab w:val="right" w:pos="360"/>
          <w:tab w:val="left" w:pos="540"/>
        </w:tabs>
        <w:spacing w:after="240"/>
        <w:ind w:left="540" w:hanging="540"/>
        <w:rPr>
          <w:u w:val="single"/>
        </w:rPr>
      </w:pPr>
      <w:r w:rsidRPr="00B5046B">
        <w:tab/>
        <w:t>1</w:t>
      </w:r>
      <w:r>
        <w:t>0</w:t>
      </w:r>
      <w:r w:rsidRPr="00B5046B">
        <w:t xml:space="preserve">. </w:t>
      </w:r>
      <w:r w:rsidRPr="00B5046B">
        <w:tab/>
        <w:t xml:space="preserve">Office for Aboriginal and Torres Strait Islander Health, Australian Government </w:t>
      </w:r>
      <w:proofErr w:type="spellStart"/>
      <w:r w:rsidRPr="00B5046B">
        <w:t>Dept</w:t>
      </w:r>
      <w:proofErr w:type="spellEnd"/>
      <w:r w:rsidRPr="00B5046B">
        <w:t xml:space="preserve"> of Health and Ageing. Recommendations for Clinical Care Guidelines on the Management of Otitis Media in Aboriginal and Torres Strait Islander Populations: updated 2010. </w:t>
      </w:r>
      <w:hyperlink r:id="rId20" w:tooltip="link to Office of Aboriginal and Torres Strait Islander health publication regarding Otitis Media" w:history="1">
        <w:r w:rsidRPr="00B5046B">
          <w:rPr>
            <w:color w:val="0000FF"/>
            <w:u w:val="single"/>
          </w:rPr>
          <w:t>http://www.health.gov.au/internet/main/publishing.nsf/Content/health-oatsih-pubs-omp.htm</w:t>
        </w:r>
      </w:hyperlink>
    </w:p>
    <w:p w:rsidR="00BA6265" w:rsidRPr="00B5046B" w:rsidRDefault="00BA6265" w:rsidP="00085013">
      <w:pPr>
        <w:tabs>
          <w:tab w:val="right" w:pos="360"/>
          <w:tab w:val="left" w:pos="540"/>
        </w:tabs>
        <w:spacing w:after="240"/>
        <w:ind w:left="540" w:hanging="540"/>
        <w:rPr>
          <w:u w:val="single"/>
        </w:rPr>
      </w:pPr>
      <w:r>
        <w:tab/>
        <w:t>11</w:t>
      </w:r>
      <w:r w:rsidRPr="00B5046B">
        <w:t xml:space="preserve">. </w:t>
      </w:r>
      <w:r w:rsidRPr="00B5046B">
        <w:tab/>
        <w:t xml:space="preserve">World Health Organization. </w:t>
      </w:r>
      <w:proofErr w:type="spellStart"/>
      <w:r w:rsidRPr="00B5046B">
        <w:t>mHealth</w:t>
      </w:r>
      <w:proofErr w:type="spellEnd"/>
      <w:r w:rsidRPr="00B5046B">
        <w:t xml:space="preserve">. New horizons for health through mobile technologies. </w:t>
      </w:r>
      <w:hyperlink r:id="rId21" w:tooltip="Link to World Health Organization website" w:history="1">
        <w:r w:rsidRPr="00B5046B">
          <w:rPr>
            <w:color w:val="0000FF"/>
            <w:u w:val="single"/>
          </w:rPr>
          <w:t>http://www.who.int/goe/publications/goe_mhealth_web.pdf</w:t>
        </w:r>
      </w:hyperlink>
    </w:p>
    <w:p w:rsidR="00BA6265" w:rsidRPr="00B5046B" w:rsidRDefault="00BA6265" w:rsidP="00085013">
      <w:pPr>
        <w:tabs>
          <w:tab w:val="right" w:pos="360"/>
          <w:tab w:val="left" w:pos="540"/>
        </w:tabs>
        <w:spacing w:after="240"/>
        <w:ind w:left="540" w:hanging="540"/>
        <w:rPr>
          <w:u w:val="single"/>
        </w:rPr>
      </w:pPr>
      <w:r>
        <w:tab/>
        <w:t>12</w:t>
      </w:r>
      <w:r w:rsidRPr="00B5046B">
        <w:t xml:space="preserve">. </w:t>
      </w:r>
      <w:r w:rsidRPr="00B5046B">
        <w:tab/>
        <w:t xml:space="preserve">Australian Communications and Media Authority. Telecommunications in Remote Indigenous Communities. </w:t>
      </w:r>
      <w:hyperlink r:id="rId22" w:tooltip="Link to Australian Communications and Medical Authority website." w:history="1">
        <w:r w:rsidRPr="00B5046B">
          <w:rPr>
            <w:color w:val="0000FF"/>
            <w:u w:val="single"/>
          </w:rPr>
          <w:t>http://www.acma.gov.au/WEB/STANDARD/pc=PC_311397</w:t>
        </w:r>
      </w:hyperlink>
    </w:p>
    <w:p w:rsidR="00BA6265" w:rsidRPr="00B5046B" w:rsidRDefault="00BA6265" w:rsidP="00085013">
      <w:pPr>
        <w:tabs>
          <w:tab w:val="right" w:pos="360"/>
          <w:tab w:val="left" w:pos="540"/>
        </w:tabs>
        <w:spacing w:after="240"/>
        <w:ind w:left="540" w:hanging="540"/>
        <w:rPr>
          <w:u w:val="single"/>
        </w:rPr>
      </w:pPr>
      <w:r w:rsidRPr="00B5046B">
        <w:tab/>
        <w:t>1</w:t>
      </w:r>
      <w:r>
        <w:t>3</w:t>
      </w:r>
      <w:r w:rsidRPr="00B5046B">
        <w:t xml:space="preserve">. </w:t>
      </w:r>
      <w:r w:rsidRPr="00B5046B">
        <w:tab/>
      </w:r>
      <w:proofErr w:type="spellStart"/>
      <w:r w:rsidRPr="00B5046B">
        <w:t>Tangentyere</w:t>
      </w:r>
      <w:proofErr w:type="spellEnd"/>
      <w:r w:rsidRPr="00B5046B">
        <w:t xml:space="preserve"> Council and Central Land Council. </w:t>
      </w:r>
      <w:proofErr w:type="spellStart"/>
      <w:r w:rsidRPr="00B5046B">
        <w:t>Ingerrekenhe</w:t>
      </w:r>
      <w:proofErr w:type="spellEnd"/>
      <w:r w:rsidRPr="00B5046B">
        <w:t xml:space="preserve"> </w:t>
      </w:r>
      <w:proofErr w:type="spellStart"/>
      <w:r w:rsidRPr="00B5046B">
        <w:t>Antirrkweme</w:t>
      </w:r>
      <w:proofErr w:type="spellEnd"/>
      <w:r w:rsidRPr="00B5046B">
        <w:t xml:space="preserve">. Mobile Phone Use Among Low Income Aboriginal People, A Central Australian Snapshot. </w:t>
      </w:r>
      <w:hyperlink r:id="rId23" w:tooltip="Tangentyere Council and Central Land Council. Ingerrekenhe Antirrkweme. Mobile Phone Use Among Low Income Aboriginal People, A Central Australian Snapshot." w:history="1">
        <w:r w:rsidRPr="00B5046B">
          <w:rPr>
            <w:color w:val="0000FF"/>
            <w:u w:val="single"/>
          </w:rPr>
          <w:t>http://www.tangentyere.org.au/publications/research_reports/MobilePhone.pdf</w:t>
        </w:r>
      </w:hyperlink>
    </w:p>
    <w:p w:rsidR="00BA6265" w:rsidRPr="00B5046B" w:rsidRDefault="00BA6265" w:rsidP="00085013">
      <w:pPr>
        <w:tabs>
          <w:tab w:val="right" w:pos="360"/>
          <w:tab w:val="left" w:pos="540"/>
        </w:tabs>
        <w:spacing w:after="240"/>
        <w:ind w:left="540" w:hanging="540"/>
      </w:pPr>
      <w:r>
        <w:tab/>
        <w:t>14</w:t>
      </w:r>
      <w:r w:rsidRPr="00B5046B">
        <w:t xml:space="preserve">. </w:t>
      </w:r>
      <w:r w:rsidRPr="00B5046B">
        <w:tab/>
        <w:t>Phillips J. The MOP UP Study Mobile Phones to Improve Untreated Perforations: a Pilot Randomised Controlled Trial</w:t>
      </w:r>
      <w:r w:rsidRPr="00B5046B">
        <w:rPr>
          <w:i/>
        </w:rPr>
        <w:t>.</w:t>
      </w:r>
      <w:r w:rsidRPr="00B5046B">
        <w:t xml:space="preserve"> Darwin, N.T: Menzies School of Health Research. 2011.</w:t>
      </w:r>
    </w:p>
    <w:p w:rsidR="00BA6265" w:rsidRPr="00B5046B" w:rsidRDefault="00BA6265" w:rsidP="00085013">
      <w:pPr>
        <w:tabs>
          <w:tab w:val="right" w:pos="360"/>
          <w:tab w:val="left" w:pos="540"/>
        </w:tabs>
        <w:spacing w:after="240"/>
        <w:ind w:left="540" w:hanging="540"/>
      </w:pPr>
      <w:r>
        <w:tab/>
        <w:t>15</w:t>
      </w:r>
      <w:r w:rsidRPr="00B5046B">
        <w:t xml:space="preserve">. </w:t>
      </w:r>
      <w:r w:rsidRPr="00B5046B">
        <w:tab/>
        <w:t xml:space="preserve">NHMRC. NHMRC additional levels of evidence and grades for recommendations for developers of guidelines: PILOT PROGRAM 2005 - 2007. </w:t>
      </w:r>
    </w:p>
    <w:p w:rsidR="00BA6265" w:rsidRPr="00B5046B" w:rsidRDefault="00BA6265" w:rsidP="00085013">
      <w:pPr>
        <w:tabs>
          <w:tab w:val="right" w:pos="360"/>
          <w:tab w:val="left" w:pos="540"/>
        </w:tabs>
        <w:spacing w:after="240"/>
        <w:ind w:left="540" w:hanging="540"/>
      </w:pPr>
      <w:r>
        <w:lastRenderedPageBreak/>
        <w:tab/>
        <w:t>16</w:t>
      </w:r>
      <w:r w:rsidRPr="00B5046B">
        <w:t xml:space="preserve">. </w:t>
      </w:r>
      <w:r w:rsidRPr="00B5046B">
        <w:tab/>
        <w:t xml:space="preserve">da Costa TM, Barbosa BJ, Gomes e Costa DA, </w:t>
      </w:r>
      <w:proofErr w:type="spellStart"/>
      <w:r w:rsidRPr="00B5046B">
        <w:t>Sigulem</w:t>
      </w:r>
      <w:proofErr w:type="spellEnd"/>
      <w:r w:rsidRPr="00B5046B">
        <w:t xml:space="preserve"> D, de Fatima MH, </w:t>
      </w:r>
      <w:proofErr w:type="spellStart"/>
      <w:r w:rsidRPr="00B5046B">
        <w:t>Filho</w:t>
      </w:r>
      <w:proofErr w:type="spellEnd"/>
      <w:r w:rsidRPr="00B5046B">
        <w:t xml:space="preserve"> AC et al. Results of a randomized controlled trial to assess the effects of a mobile SMS-based intervention on treatment adherence in HIV/AIDS-infected Brazilian women and impressions and satisfaction with respect to incoming messages. </w:t>
      </w:r>
      <w:proofErr w:type="spellStart"/>
      <w:r w:rsidRPr="00B5046B">
        <w:t>Int</w:t>
      </w:r>
      <w:proofErr w:type="spellEnd"/>
      <w:r w:rsidRPr="00B5046B">
        <w:t xml:space="preserve"> J Med Inform 2012; 81</w:t>
      </w:r>
      <w:r w:rsidRPr="00B5046B">
        <w:rPr>
          <w:b/>
        </w:rPr>
        <w:t>:</w:t>
      </w:r>
      <w:r w:rsidRPr="00B5046B">
        <w:t xml:space="preserve"> 257-269.</w:t>
      </w:r>
    </w:p>
    <w:p w:rsidR="00BA6265" w:rsidRPr="00B5046B" w:rsidRDefault="00BA6265" w:rsidP="00085013">
      <w:pPr>
        <w:tabs>
          <w:tab w:val="right" w:pos="360"/>
          <w:tab w:val="left" w:pos="540"/>
        </w:tabs>
        <w:spacing w:after="240"/>
        <w:ind w:left="540" w:hanging="540"/>
      </w:pPr>
      <w:r>
        <w:tab/>
        <w:t>17</w:t>
      </w:r>
      <w:r w:rsidRPr="00B5046B">
        <w:t xml:space="preserve">. </w:t>
      </w:r>
      <w:r w:rsidRPr="00B5046B">
        <w:tab/>
        <w:t>Pop-</w:t>
      </w:r>
      <w:proofErr w:type="spellStart"/>
      <w:r w:rsidRPr="00B5046B">
        <w:t>Eleches</w:t>
      </w:r>
      <w:proofErr w:type="spellEnd"/>
      <w:r w:rsidRPr="00B5046B">
        <w:t xml:space="preserve"> C, </w:t>
      </w:r>
      <w:proofErr w:type="spellStart"/>
      <w:r w:rsidRPr="00B5046B">
        <w:t>Thirumurthy</w:t>
      </w:r>
      <w:proofErr w:type="spellEnd"/>
      <w:r w:rsidRPr="00B5046B">
        <w:t xml:space="preserve"> H, </w:t>
      </w:r>
      <w:proofErr w:type="spellStart"/>
      <w:r w:rsidRPr="00B5046B">
        <w:t>Habyarimana</w:t>
      </w:r>
      <w:proofErr w:type="spellEnd"/>
      <w:r w:rsidRPr="00B5046B">
        <w:t xml:space="preserve"> JP, </w:t>
      </w:r>
      <w:proofErr w:type="spellStart"/>
      <w:r w:rsidRPr="00B5046B">
        <w:t>Zivin</w:t>
      </w:r>
      <w:proofErr w:type="spellEnd"/>
      <w:r w:rsidRPr="00B5046B">
        <w:t xml:space="preserve"> JG, Goldstein MP, de WD et al. Mobile phone technologies improve adherence to antiretroviral treatment in a resource-limited setting: a randomized controlled trial of text message reminders. AIDS 2011; 25</w:t>
      </w:r>
      <w:r w:rsidRPr="00B5046B">
        <w:rPr>
          <w:b/>
        </w:rPr>
        <w:t>:</w:t>
      </w:r>
      <w:r w:rsidRPr="00B5046B">
        <w:t xml:space="preserve"> 825-834.</w:t>
      </w:r>
    </w:p>
    <w:p w:rsidR="00BA6265" w:rsidRPr="00B5046B" w:rsidRDefault="00BA6265" w:rsidP="00085013">
      <w:pPr>
        <w:tabs>
          <w:tab w:val="right" w:pos="360"/>
          <w:tab w:val="left" w:pos="540"/>
        </w:tabs>
        <w:spacing w:after="240"/>
        <w:ind w:left="540" w:hanging="540"/>
      </w:pPr>
      <w:r>
        <w:tab/>
        <w:t>18</w:t>
      </w:r>
      <w:r w:rsidRPr="00B5046B">
        <w:t xml:space="preserve">. </w:t>
      </w:r>
      <w:r w:rsidRPr="00B5046B">
        <w:tab/>
        <w:t xml:space="preserve">Sharma R, </w:t>
      </w:r>
      <w:proofErr w:type="spellStart"/>
      <w:r w:rsidRPr="00B5046B">
        <w:t>Hebbal</w:t>
      </w:r>
      <w:proofErr w:type="spellEnd"/>
      <w:r w:rsidRPr="00B5046B">
        <w:t xml:space="preserve"> M, </w:t>
      </w:r>
      <w:proofErr w:type="spellStart"/>
      <w:r w:rsidRPr="00B5046B">
        <w:t>Ankola</w:t>
      </w:r>
      <w:proofErr w:type="spellEnd"/>
      <w:r w:rsidRPr="00B5046B">
        <w:t xml:space="preserve"> AV, </w:t>
      </w:r>
      <w:proofErr w:type="spellStart"/>
      <w:r w:rsidRPr="00B5046B">
        <w:t>Murugabupathy</w:t>
      </w:r>
      <w:proofErr w:type="spellEnd"/>
      <w:r w:rsidRPr="00B5046B">
        <w:t xml:space="preserve"> V. Mobile-phone text messaging (SMS) for providing oral health education to mothers of preschool children in Belgaum City. J </w:t>
      </w:r>
      <w:proofErr w:type="spellStart"/>
      <w:r w:rsidRPr="00B5046B">
        <w:t>Telemed</w:t>
      </w:r>
      <w:proofErr w:type="spellEnd"/>
      <w:r w:rsidRPr="00B5046B">
        <w:t xml:space="preserve"> </w:t>
      </w:r>
      <w:proofErr w:type="spellStart"/>
      <w:r w:rsidRPr="00B5046B">
        <w:t>Telecare</w:t>
      </w:r>
      <w:proofErr w:type="spellEnd"/>
      <w:r w:rsidRPr="00B5046B">
        <w:t xml:space="preserve"> 2011; 17: 432-436.</w:t>
      </w:r>
    </w:p>
    <w:p w:rsidR="00BA6265" w:rsidRPr="00B5046B" w:rsidRDefault="00BA6265" w:rsidP="00085013">
      <w:pPr>
        <w:tabs>
          <w:tab w:val="right" w:pos="360"/>
          <w:tab w:val="left" w:pos="540"/>
        </w:tabs>
        <w:spacing w:after="240"/>
        <w:ind w:left="540" w:hanging="540"/>
      </w:pPr>
      <w:r w:rsidRPr="00B5046B">
        <w:tab/>
      </w:r>
      <w:r>
        <w:t>19</w:t>
      </w:r>
      <w:r w:rsidRPr="00B5046B">
        <w:t xml:space="preserve">. </w:t>
      </w:r>
      <w:r w:rsidRPr="00B5046B">
        <w:tab/>
      </w:r>
      <w:proofErr w:type="spellStart"/>
      <w:r w:rsidRPr="00B5046B">
        <w:t>Strandbygaard</w:t>
      </w:r>
      <w:proofErr w:type="spellEnd"/>
      <w:r w:rsidRPr="00B5046B">
        <w:t xml:space="preserve"> U, Thomsen SF, Backer V. A daily SMS reminder increases adherence to asthma treatment: a three-month follow-up study. </w:t>
      </w:r>
      <w:proofErr w:type="spellStart"/>
      <w:r w:rsidRPr="00B5046B">
        <w:t>Respir</w:t>
      </w:r>
      <w:proofErr w:type="spellEnd"/>
      <w:r w:rsidRPr="00B5046B">
        <w:t xml:space="preserve"> Med 2010; 104: 166-171.</w:t>
      </w:r>
    </w:p>
    <w:p w:rsidR="00BA6265" w:rsidRPr="00B5046B" w:rsidRDefault="00BA6265" w:rsidP="00085013">
      <w:pPr>
        <w:tabs>
          <w:tab w:val="right" w:pos="360"/>
          <w:tab w:val="left" w:pos="540"/>
        </w:tabs>
        <w:spacing w:after="240"/>
        <w:ind w:left="540" w:hanging="540"/>
      </w:pPr>
      <w:r>
        <w:tab/>
        <w:t>20</w:t>
      </w:r>
      <w:r w:rsidRPr="00B5046B">
        <w:t xml:space="preserve">. </w:t>
      </w:r>
      <w:r w:rsidRPr="00B5046B">
        <w:tab/>
        <w:t xml:space="preserve">Ting TV, </w:t>
      </w:r>
      <w:proofErr w:type="spellStart"/>
      <w:r w:rsidRPr="00B5046B">
        <w:t>Kudalkar</w:t>
      </w:r>
      <w:proofErr w:type="spellEnd"/>
      <w:r w:rsidRPr="00B5046B">
        <w:t xml:space="preserve"> D, Nelson S, Cortina S, </w:t>
      </w:r>
      <w:proofErr w:type="spellStart"/>
      <w:r w:rsidRPr="00B5046B">
        <w:t>Pendl</w:t>
      </w:r>
      <w:proofErr w:type="spellEnd"/>
      <w:r w:rsidRPr="00B5046B">
        <w:t xml:space="preserve"> J, </w:t>
      </w:r>
      <w:proofErr w:type="spellStart"/>
      <w:r w:rsidRPr="00B5046B">
        <w:t>Budhani</w:t>
      </w:r>
      <w:proofErr w:type="spellEnd"/>
      <w:r w:rsidRPr="00B5046B">
        <w:t xml:space="preserve"> S et al. Usefulness of cellular text messaging for improving adherence among adolescents and young adults with systemic lupus </w:t>
      </w:r>
      <w:proofErr w:type="spellStart"/>
      <w:r w:rsidRPr="00B5046B">
        <w:t>erythematosus</w:t>
      </w:r>
      <w:proofErr w:type="spellEnd"/>
      <w:r w:rsidRPr="00B5046B">
        <w:t xml:space="preserve">. J </w:t>
      </w:r>
      <w:proofErr w:type="spellStart"/>
      <w:r w:rsidRPr="00B5046B">
        <w:t>Rheumatol</w:t>
      </w:r>
      <w:proofErr w:type="spellEnd"/>
      <w:r w:rsidRPr="00B5046B">
        <w:t xml:space="preserve"> 2012; 39: 174-179.</w:t>
      </w:r>
    </w:p>
    <w:p w:rsidR="00BA6265" w:rsidRPr="00B5046B" w:rsidRDefault="00BA6265" w:rsidP="00085013">
      <w:pPr>
        <w:tabs>
          <w:tab w:val="right" w:pos="360"/>
          <w:tab w:val="left" w:pos="540"/>
        </w:tabs>
        <w:spacing w:after="240"/>
        <w:ind w:left="540" w:hanging="540"/>
      </w:pPr>
      <w:r>
        <w:tab/>
        <w:t>21</w:t>
      </w:r>
      <w:r w:rsidRPr="00B5046B">
        <w:t xml:space="preserve">. </w:t>
      </w:r>
      <w:r w:rsidRPr="00B5046B">
        <w:tab/>
        <w:t xml:space="preserve">Horvath T, </w:t>
      </w:r>
      <w:proofErr w:type="spellStart"/>
      <w:r w:rsidRPr="00B5046B">
        <w:t>Azman</w:t>
      </w:r>
      <w:proofErr w:type="spellEnd"/>
      <w:r w:rsidRPr="00B5046B">
        <w:t xml:space="preserve"> H, Kennedy GE, Rutherford GW. Mobile phone text messaging for promoting adherence to antiretroviral therapy in patients with HIV infection. Cochrane</w:t>
      </w:r>
      <w:r w:rsidRPr="00B5046B">
        <w:rPr>
          <w:i/>
        </w:rPr>
        <w:t xml:space="preserve"> </w:t>
      </w:r>
      <w:r w:rsidRPr="00B5046B">
        <w:t xml:space="preserve">Database </w:t>
      </w:r>
      <w:proofErr w:type="spellStart"/>
      <w:r w:rsidRPr="00B5046B">
        <w:t>Syst</w:t>
      </w:r>
      <w:proofErr w:type="spellEnd"/>
      <w:r w:rsidRPr="00B5046B">
        <w:t xml:space="preserve"> Rev 2012; 3</w:t>
      </w:r>
      <w:r w:rsidRPr="00B5046B">
        <w:rPr>
          <w:b/>
        </w:rPr>
        <w:t>:</w:t>
      </w:r>
      <w:r w:rsidRPr="00B5046B">
        <w:t xml:space="preserve"> CD009756.</w:t>
      </w:r>
    </w:p>
    <w:p w:rsidR="00BA6265" w:rsidRPr="00B5046B" w:rsidRDefault="00BA6265" w:rsidP="00085013">
      <w:pPr>
        <w:tabs>
          <w:tab w:val="right" w:pos="360"/>
          <w:tab w:val="left" w:pos="540"/>
        </w:tabs>
        <w:spacing w:after="240"/>
        <w:ind w:left="540" w:hanging="540"/>
      </w:pPr>
      <w:r>
        <w:tab/>
        <w:t>22</w:t>
      </w:r>
      <w:r w:rsidRPr="00B5046B">
        <w:t xml:space="preserve">. </w:t>
      </w:r>
      <w:r w:rsidRPr="00B5046B">
        <w:tab/>
      </w:r>
      <w:proofErr w:type="spellStart"/>
      <w:r w:rsidRPr="00B5046B">
        <w:t>Miloh</w:t>
      </w:r>
      <w:proofErr w:type="spellEnd"/>
      <w:r w:rsidRPr="00B5046B">
        <w:t xml:space="preserve"> T, </w:t>
      </w:r>
      <w:proofErr w:type="spellStart"/>
      <w:r w:rsidRPr="00B5046B">
        <w:t>Annunziato</w:t>
      </w:r>
      <w:proofErr w:type="spellEnd"/>
      <w:r w:rsidRPr="00B5046B">
        <w:t xml:space="preserve"> R, </w:t>
      </w:r>
      <w:proofErr w:type="spellStart"/>
      <w:r w:rsidRPr="00B5046B">
        <w:t>Arnon</w:t>
      </w:r>
      <w:proofErr w:type="spellEnd"/>
      <w:r w:rsidRPr="00B5046B">
        <w:t xml:space="preserve"> R, </w:t>
      </w:r>
      <w:proofErr w:type="spellStart"/>
      <w:r w:rsidRPr="00B5046B">
        <w:t>Warshaw</w:t>
      </w:r>
      <w:proofErr w:type="spellEnd"/>
      <w:r w:rsidRPr="00B5046B">
        <w:t xml:space="preserve"> J, </w:t>
      </w:r>
      <w:proofErr w:type="spellStart"/>
      <w:r w:rsidRPr="00B5046B">
        <w:t>Parkar</w:t>
      </w:r>
      <w:proofErr w:type="spellEnd"/>
      <w:r w:rsidRPr="00B5046B">
        <w:t xml:space="preserve"> S, </w:t>
      </w:r>
      <w:proofErr w:type="spellStart"/>
      <w:r w:rsidRPr="00B5046B">
        <w:t>Suchy</w:t>
      </w:r>
      <w:proofErr w:type="spellEnd"/>
      <w:r w:rsidRPr="00B5046B">
        <w:t xml:space="preserve"> FJ </w:t>
      </w:r>
      <w:r w:rsidRPr="00B5046B">
        <w:rPr>
          <w:i/>
        </w:rPr>
        <w:t>et al</w:t>
      </w:r>
      <w:r w:rsidRPr="00B5046B">
        <w:t xml:space="preserve">. Improved adherence and outcomes for </w:t>
      </w:r>
      <w:proofErr w:type="spellStart"/>
      <w:r w:rsidRPr="00B5046B">
        <w:t>pediatric</w:t>
      </w:r>
      <w:proofErr w:type="spellEnd"/>
      <w:r w:rsidRPr="00B5046B">
        <w:t xml:space="preserve"> liver transplant recipients by using text messaging. </w:t>
      </w:r>
      <w:proofErr w:type="spellStart"/>
      <w:r w:rsidRPr="00B5046B">
        <w:t>Pediatrics</w:t>
      </w:r>
      <w:proofErr w:type="spellEnd"/>
      <w:r w:rsidRPr="00B5046B">
        <w:t xml:space="preserve"> 2009; 124: e844-e850.</w:t>
      </w:r>
    </w:p>
    <w:p w:rsidR="00BA6265" w:rsidRPr="00B5046B" w:rsidRDefault="00BA6265" w:rsidP="00085013">
      <w:pPr>
        <w:tabs>
          <w:tab w:val="right" w:pos="360"/>
          <w:tab w:val="left" w:pos="540"/>
        </w:tabs>
        <w:spacing w:after="240"/>
        <w:ind w:left="540" w:hanging="540"/>
      </w:pPr>
      <w:r w:rsidRPr="00B5046B">
        <w:tab/>
      </w:r>
      <w:r>
        <w:t>23</w:t>
      </w:r>
      <w:r w:rsidRPr="00B5046B">
        <w:t xml:space="preserve">. </w:t>
      </w:r>
      <w:r w:rsidRPr="00B5046B">
        <w:tab/>
        <w:t xml:space="preserve">Guy R, Hocking J, Wand H, Stott S, Ali H, </w:t>
      </w:r>
      <w:proofErr w:type="spellStart"/>
      <w:r w:rsidRPr="00B5046B">
        <w:t>Kaldor</w:t>
      </w:r>
      <w:proofErr w:type="spellEnd"/>
      <w:r w:rsidRPr="00B5046B">
        <w:t xml:space="preserve"> J. How effective are short message service reminders at increasing clinic attendance? A meta-analysis and systematic review. Health </w:t>
      </w:r>
      <w:proofErr w:type="spellStart"/>
      <w:r w:rsidRPr="00B5046B">
        <w:t>Serv</w:t>
      </w:r>
      <w:proofErr w:type="spellEnd"/>
      <w:r w:rsidRPr="00B5046B">
        <w:t xml:space="preserve"> Res 2012; 47: 614-632.</w:t>
      </w:r>
    </w:p>
    <w:p w:rsidR="00BA6265" w:rsidRPr="00B5046B" w:rsidRDefault="00BA6265" w:rsidP="00085013">
      <w:pPr>
        <w:tabs>
          <w:tab w:val="right" w:pos="360"/>
          <w:tab w:val="left" w:pos="540"/>
        </w:tabs>
        <w:spacing w:after="240"/>
        <w:ind w:left="540" w:hanging="540"/>
      </w:pPr>
      <w:r w:rsidRPr="00B5046B">
        <w:tab/>
      </w:r>
      <w:r>
        <w:t>24</w:t>
      </w:r>
      <w:r w:rsidRPr="00B5046B">
        <w:t xml:space="preserve">. </w:t>
      </w:r>
      <w:r w:rsidRPr="00B5046B">
        <w:tab/>
        <w:t xml:space="preserve">Car J, </w:t>
      </w:r>
      <w:proofErr w:type="spellStart"/>
      <w:r w:rsidRPr="00B5046B">
        <w:t>Gurol-Urganci</w:t>
      </w:r>
      <w:proofErr w:type="spellEnd"/>
      <w:r w:rsidRPr="00B5046B">
        <w:t xml:space="preserve"> I, de JT, </w:t>
      </w:r>
      <w:proofErr w:type="spellStart"/>
      <w:r w:rsidRPr="00B5046B">
        <w:t>Vodopivec-Jamsek</w:t>
      </w:r>
      <w:proofErr w:type="spellEnd"/>
      <w:r w:rsidRPr="00B5046B">
        <w:t xml:space="preserve"> V, </w:t>
      </w:r>
      <w:proofErr w:type="spellStart"/>
      <w:r w:rsidRPr="00B5046B">
        <w:t>Atun</w:t>
      </w:r>
      <w:proofErr w:type="spellEnd"/>
      <w:r w:rsidRPr="00B5046B">
        <w:t xml:space="preserve"> R. Mobile phone messaging reminders for attendance at healthcare appointments. Cochrane Database </w:t>
      </w:r>
      <w:proofErr w:type="spellStart"/>
      <w:r w:rsidRPr="00B5046B">
        <w:t>Syst</w:t>
      </w:r>
      <w:proofErr w:type="spellEnd"/>
      <w:r w:rsidRPr="00B5046B">
        <w:t xml:space="preserve"> Rev 2012; 7: CD007458.</w:t>
      </w:r>
    </w:p>
    <w:p w:rsidR="00BA6265" w:rsidRPr="00B5046B" w:rsidRDefault="00BA6265" w:rsidP="00085013">
      <w:pPr>
        <w:tabs>
          <w:tab w:val="right" w:pos="360"/>
          <w:tab w:val="left" w:pos="540"/>
        </w:tabs>
        <w:spacing w:after="240"/>
        <w:ind w:left="540" w:hanging="540"/>
      </w:pPr>
      <w:r w:rsidRPr="00B5046B">
        <w:tab/>
      </w:r>
      <w:r>
        <w:t>25</w:t>
      </w:r>
      <w:r w:rsidRPr="00B5046B">
        <w:t xml:space="preserve">. </w:t>
      </w:r>
      <w:r w:rsidRPr="00B5046B">
        <w:tab/>
      </w:r>
      <w:proofErr w:type="spellStart"/>
      <w:r w:rsidRPr="00B5046B">
        <w:t>Kreuter</w:t>
      </w:r>
      <w:proofErr w:type="spellEnd"/>
      <w:r w:rsidRPr="00B5046B">
        <w:t xml:space="preserve"> MW, </w:t>
      </w:r>
      <w:proofErr w:type="spellStart"/>
      <w:r w:rsidRPr="00B5046B">
        <w:t>Strecher</w:t>
      </w:r>
      <w:proofErr w:type="spellEnd"/>
      <w:r w:rsidRPr="00B5046B">
        <w:t xml:space="preserve"> VJ, Glassman B. One size does not fit all: the case for tailoring print materials. Ann </w:t>
      </w:r>
      <w:proofErr w:type="spellStart"/>
      <w:r w:rsidRPr="00B5046B">
        <w:t>Behav</w:t>
      </w:r>
      <w:proofErr w:type="spellEnd"/>
      <w:r w:rsidRPr="00B5046B">
        <w:t xml:space="preserve"> Med 1999; 21: 276-283.</w:t>
      </w:r>
    </w:p>
    <w:p w:rsidR="00BA6265" w:rsidRPr="00B5046B" w:rsidRDefault="00BA6265" w:rsidP="00085013">
      <w:pPr>
        <w:tabs>
          <w:tab w:val="right" w:pos="360"/>
          <w:tab w:val="left" w:pos="540"/>
        </w:tabs>
        <w:spacing w:after="240"/>
        <w:ind w:left="540" w:hanging="540"/>
      </w:pPr>
      <w:r w:rsidRPr="00B5046B">
        <w:tab/>
      </w:r>
      <w:r>
        <w:t>26</w:t>
      </w:r>
      <w:r w:rsidRPr="00B5046B">
        <w:t xml:space="preserve">. </w:t>
      </w:r>
      <w:r w:rsidRPr="00B5046B">
        <w:tab/>
        <w:t xml:space="preserve">Heron KE, Smyth JM. Ecological momentary interventions: incorporating mobile technology into psychosocial and health behaviour treatments. Br J Health </w:t>
      </w:r>
      <w:proofErr w:type="spellStart"/>
      <w:r w:rsidRPr="00B5046B">
        <w:t>Psychol</w:t>
      </w:r>
      <w:proofErr w:type="spellEnd"/>
      <w:r w:rsidRPr="00B5046B">
        <w:t xml:space="preserve"> 2010; 15: 1-39.</w:t>
      </w:r>
    </w:p>
    <w:p w:rsidR="00BA6265" w:rsidRPr="00B5046B" w:rsidRDefault="00BA6265" w:rsidP="00085013">
      <w:pPr>
        <w:tabs>
          <w:tab w:val="right" w:pos="360"/>
          <w:tab w:val="left" w:pos="540"/>
        </w:tabs>
        <w:spacing w:after="240"/>
        <w:ind w:left="540" w:hanging="540"/>
      </w:pPr>
      <w:r w:rsidRPr="00B5046B">
        <w:tab/>
      </w:r>
      <w:r>
        <w:t>27</w:t>
      </w:r>
      <w:r w:rsidRPr="00B5046B">
        <w:t xml:space="preserve">. </w:t>
      </w:r>
      <w:r w:rsidRPr="00B5046B">
        <w:tab/>
      </w:r>
      <w:proofErr w:type="spellStart"/>
      <w:r w:rsidRPr="00B5046B">
        <w:t>Kreuter</w:t>
      </w:r>
      <w:proofErr w:type="spellEnd"/>
      <w:r w:rsidRPr="00B5046B">
        <w:t xml:space="preserve"> MW, Wray RJ. Tailored and targeted health communication: strategies for enhancing information relevance. Am J Health </w:t>
      </w:r>
      <w:proofErr w:type="spellStart"/>
      <w:r w:rsidRPr="00B5046B">
        <w:t>Behav</w:t>
      </w:r>
      <w:proofErr w:type="spellEnd"/>
      <w:r w:rsidRPr="00B5046B">
        <w:t xml:space="preserve"> 2003; 27 </w:t>
      </w:r>
      <w:proofErr w:type="spellStart"/>
      <w:r w:rsidRPr="00B5046B">
        <w:t>Suppl</w:t>
      </w:r>
      <w:proofErr w:type="spellEnd"/>
      <w:r w:rsidRPr="00B5046B">
        <w:t xml:space="preserve"> 3: S227-S232.</w:t>
      </w:r>
    </w:p>
    <w:p w:rsidR="00BA6265" w:rsidRPr="00B5046B" w:rsidRDefault="00BA6265" w:rsidP="00085013">
      <w:pPr>
        <w:tabs>
          <w:tab w:val="right" w:pos="360"/>
          <w:tab w:val="left" w:pos="540"/>
        </w:tabs>
        <w:spacing w:after="240"/>
        <w:ind w:left="540" w:hanging="540"/>
      </w:pPr>
      <w:r w:rsidRPr="00B5046B">
        <w:tab/>
      </w:r>
      <w:r>
        <w:t>28</w:t>
      </w:r>
      <w:r w:rsidRPr="00B5046B">
        <w:t xml:space="preserve">. </w:t>
      </w:r>
      <w:r w:rsidRPr="00B5046B">
        <w:tab/>
      </w:r>
      <w:proofErr w:type="spellStart"/>
      <w:r w:rsidRPr="00B5046B">
        <w:t>Mulvaney</w:t>
      </w:r>
      <w:proofErr w:type="spellEnd"/>
      <w:r w:rsidRPr="00B5046B">
        <w:t xml:space="preserve"> SA, </w:t>
      </w:r>
      <w:proofErr w:type="spellStart"/>
      <w:r w:rsidRPr="00B5046B">
        <w:t>Ritterband</w:t>
      </w:r>
      <w:proofErr w:type="spellEnd"/>
      <w:r w:rsidRPr="00B5046B">
        <w:t xml:space="preserve"> LM, </w:t>
      </w:r>
      <w:proofErr w:type="spellStart"/>
      <w:r w:rsidRPr="00B5046B">
        <w:t>Bosslet</w:t>
      </w:r>
      <w:proofErr w:type="spellEnd"/>
      <w:r w:rsidRPr="00B5046B">
        <w:t xml:space="preserve"> L. Mobile intervention design in diabetes: review and recommendations. </w:t>
      </w:r>
      <w:proofErr w:type="spellStart"/>
      <w:r w:rsidRPr="00B5046B">
        <w:t>Curr</w:t>
      </w:r>
      <w:proofErr w:type="spellEnd"/>
      <w:r w:rsidRPr="00B5046B">
        <w:t xml:space="preserve"> </w:t>
      </w:r>
      <w:proofErr w:type="spellStart"/>
      <w:r w:rsidRPr="00B5046B">
        <w:t>Diab</w:t>
      </w:r>
      <w:proofErr w:type="spellEnd"/>
      <w:r w:rsidRPr="00B5046B">
        <w:t xml:space="preserve"> Rep 2011; 11: 486-493.</w:t>
      </w:r>
    </w:p>
    <w:p w:rsidR="00BA6265" w:rsidRPr="00B5046B" w:rsidRDefault="00BA6265" w:rsidP="00085013">
      <w:pPr>
        <w:tabs>
          <w:tab w:val="right" w:pos="360"/>
          <w:tab w:val="left" w:pos="540"/>
        </w:tabs>
        <w:spacing w:after="240"/>
        <w:ind w:left="540" w:hanging="540"/>
      </w:pPr>
      <w:r w:rsidRPr="00B5046B">
        <w:tab/>
      </w:r>
      <w:r>
        <w:t>29</w:t>
      </w:r>
      <w:r w:rsidRPr="00B5046B">
        <w:t xml:space="preserve">. </w:t>
      </w:r>
      <w:r w:rsidRPr="00B5046B">
        <w:tab/>
        <w:t xml:space="preserve">Lester RT, </w:t>
      </w:r>
      <w:proofErr w:type="spellStart"/>
      <w:r w:rsidRPr="00B5046B">
        <w:t>Ritvo</w:t>
      </w:r>
      <w:proofErr w:type="spellEnd"/>
      <w:r w:rsidRPr="00B5046B">
        <w:t xml:space="preserve"> P, Mills EJ, </w:t>
      </w:r>
      <w:proofErr w:type="spellStart"/>
      <w:r w:rsidRPr="00B5046B">
        <w:t>Kariri</w:t>
      </w:r>
      <w:proofErr w:type="spellEnd"/>
      <w:r w:rsidRPr="00B5046B">
        <w:t xml:space="preserve"> A, Karanja S, Chung MH et al. Effects of a mobile phone short message service on antiretroviral treatment adherence in Kenya (</w:t>
      </w:r>
      <w:proofErr w:type="spellStart"/>
      <w:r w:rsidRPr="00B5046B">
        <w:t>WelTel</w:t>
      </w:r>
      <w:proofErr w:type="spellEnd"/>
      <w:r w:rsidRPr="00B5046B">
        <w:t xml:space="preserve"> Kenya1): a randomised trial. Lancet 2</w:t>
      </w:r>
      <w:r w:rsidR="001D512D">
        <w:t>010; 376: 1838-1845.</w:t>
      </w:r>
    </w:p>
    <w:p w:rsidR="00BA6265" w:rsidRPr="00B5046B" w:rsidRDefault="00BA6265" w:rsidP="00085013">
      <w:pPr>
        <w:tabs>
          <w:tab w:val="right" w:pos="360"/>
          <w:tab w:val="left" w:pos="540"/>
        </w:tabs>
        <w:spacing w:after="240"/>
        <w:ind w:left="540" w:hanging="540"/>
      </w:pPr>
      <w:r w:rsidRPr="00B5046B">
        <w:lastRenderedPageBreak/>
        <w:tab/>
      </w:r>
      <w:r>
        <w:t>30</w:t>
      </w:r>
      <w:r w:rsidRPr="00B5046B">
        <w:t xml:space="preserve">. </w:t>
      </w:r>
      <w:r w:rsidRPr="00B5046B">
        <w:tab/>
        <w:t xml:space="preserve">Franklin VL, Greene A, Waller A, Greene SA, </w:t>
      </w:r>
      <w:proofErr w:type="spellStart"/>
      <w:r w:rsidRPr="00B5046B">
        <w:t>Pagliari</w:t>
      </w:r>
      <w:proofErr w:type="spellEnd"/>
      <w:r w:rsidRPr="00B5046B">
        <w:t xml:space="preserve"> C. Patients' engagement with "Sweet Talk" - a text messaging support system for young people with diabetes. J Med Internet Res 2008; 10: e20.</w:t>
      </w:r>
    </w:p>
    <w:p w:rsidR="00BA6265" w:rsidRDefault="00BA6265" w:rsidP="00085013"/>
    <w:p w:rsidR="00BA6265" w:rsidRDefault="00BA6265">
      <w:pPr>
        <w:rPr>
          <w:b/>
        </w:rPr>
      </w:pPr>
      <w:r>
        <w:rPr>
          <w:b/>
        </w:rPr>
        <w:br w:type="page"/>
      </w:r>
    </w:p>
    <w:p w:rsidR="00BA6265" w:rsidRDefault="00BA6265" w:rsidP="00BC29AC">
      <w:pPr>
        <w:pStyle w:val="Heading7"/>
      </w:pPr>
      <w:r>
        <w:lastRenderedPageBreak/>
        <w:t xml:space="preserve">Project 3 </w:t>
      </w:r>
    </w:p>
    <w:p w:rsidR="00BA6265" w:rsidRDefault="00BA6265" w:rsidP="00660039"/>
    <w:p w:rsidR="00BA6265" w:rsidRDefault="00BA6265" w:rsidP="00085013">
      <w:pPr>
        <w:ind w:left="284" w:hanging="284"/>
        <w:rPr>
          <w:noProof/>
        </w:rPr>
      </w:pPr>
      <w:bookmarkStart w:id="9" w:name="_ENREF_1"/>
      <w:r w:rsidRPr="00AD1565">
        <w:rPr>
          <w:noProof/>
        </w:rPr>
        <w:t>1</w:t>
      </w:r>
      <w:r>
        <w:rPr>
          <w:noProof/>
        </w:rPr>
        <w:t xml:space="preserve">. </w:t>
      </w:r>
      <w:r w:rsidRPr="00AD1565">
        <w:rPr>
          <w:noProof/>
        </w:rPr>
        <w:t xml:space="preserve">Leach A, Morris P. The burden and outcome of respiratory tract infection in Australian and Aboriginal children. </w:t>
      </w:r>
      <w:proofErr w:type="spellStart"/>
      <w:r>
        <w:rPr>
          <w:rStyle w:val="st1"/>
          <w:rFonts w:eastAsia="Times New Roman"/>
          <w:color w:val="444444"/>
        </w:rPr>
        <w:t>Pediatr</w:t>
      </w:r>
      <w:proofErr w:type="spellEnd"/>
      <w:r>
        <w:rPr>
          <w:rStyle w:val="st1"/>
          <w:rFonts w:eastAsia="Times New Roman"/>
          <w:color w:val="444444"/>
        </w:rPr>
        <w:t xml:space="preserve"> Infect Dis</w:t>
      </w:r>
      <w:r w:rsidRPr="008A622D">
        <w:rPr>
          <w:rStyle w:val="st1"/>
          <w:rFonts w:eastAsia="Times New Roman"/>
          <w:color w:val="444444"/>
        </w:rPr>
        <w:t xml:space="preserve"> J</w:t>
      </w:r>
      <w:r w:rsidRPr="00AD1565">
        <w:rPr>
          <w:noProof/>
        </w:rPr>
        <w:t xml:space="preserve"> 2007</w:t>
      </w:r>
      <w:r w:rsidRPr="008A622D">
        <w:rPr>
          <w:noProof/>
        </w:rPr>
        <w:t>; 26</w:t>
      </w:r>
      <w:r w:rsidRPr="00AD1565">
        <w:rPr>
          <w:noProof/>
        </w:rPr>
        <w:t xml:space="preserve">: </w:t>
      </w:r>
      <w:r w:rsidRPr="00D61367">
        <w:rPr>
          <w:noProof/>
        </w:rPr>
        <w:t>S4</w:t>
      </w:r>
      <w:r w:rsidRPr="00512719">
        <w:rPr>
          <w:noProof/>
        </w:rPr>
        <w:t>–</w:t>
      </w:r>
      <w:r w:rsidRPr="00D61367">
        <w:rPr>
          <w:noProof/>
        </w:rPr>
        <w:t>S7.</w:t>
      </w:r>
      <w:bookmarkEnd w:id="9"/>
    </w:p>
    <w:p w:rsidR="00BA6265" w:rsidRDefault="00BA6265" w:rsidP="00085013">
      <w:pPr>
        <w:ind w:left="567" w:hanging="567"/>
        <w:rPr>
          <w:noProof/>
        </w:rPr>
      </w:pPr>
      <w:bookmarkStart w:id="10" w:name="_ENREF_2"/>
    </w:p>
    <w:p w:rsidR="00BA6265" w:rsidRDefault="00BA6265" w:rsidP="00085013">
      <w:pPr>
        <w:ind w:left="284" w:hanging="284"/>
        <w:rPr>
          <w:noProof/>
        </w:rPr>
      </w:pPr>
      <w:r w:rsidRPr="00AD1565">
        <w:rPr>
          <w:noProof/>
        </w:rPr>
        <w:t>2</w:t>
      </w:r>
      <w:r>
        <w:rPr>
          <w:noProof/>
        </w:rPr>
        <w:t xml:space="preserve">. </w:t>
      </w:r>
      <w:r w:rsidRPr="00AD1565">
        <w:rPr>
          <w:noProof/>
        </w:rPr>
        <w:t xml:space="preserve">Matanda RN, Muyunga KC, Sabue MJ, Creten W, Van de Heyning P. Chronic suppurative otitis media and related complications at the University Clinic of Kinshasa. </w:t>
      </w:r>
      <w:r w:rsidRPr="008A622D">
        <w:rPr>
          <w:noProof/>
        </w:rPr>
        <w:t>B-ENT</w:t>
      </w:r>
      <w:r>
        <w:rPr>
          <w:noProof/>
        </w:rPr>
        <w:t xml:space="preserve"> </w:t>
      </w:r>
      <w:r w:rsidRPr="00AD1565">
        <w:rPr>
          <w:noProof/>
        </w:rPr>
        <w:t>2005</w:t>
      </w:r>
      <w:r w:rsidRPr="008A622D">
        <w:rPr>
          <w:noProof/>
        </w:rPr>
        <w:t>; 1:</w:t>
      </w:r>
      <w:r>
        <w:rPr>
          <w:noProof/>
        </w:rPr>
        <w:t xml:space="preserve"> </w:t>
      </w:r>
      <w:r w:rsidRPr="00AD1565">
        <w:rPr>
          <w:noProof/>
        </w:rPr>
        <w:t>57–62.</w:t>
      </w:r>
      <w:bookmarkEnd w:id="10"/>
    </w:p>
    <w:p w:rsidR="00BA6265" w:rsidRDefault="00BA6265" w:rsidP="00085013">
      <w:pPr>
        <w:ind w:left="567" w:hanging="567"/>
        <w:rPr>
          <w:noProof/>
        </w:rPr>
      </w:pPr>
      <w:bookmarkStart w:id="11" w:name="_ENREF_3"/>
    </w:p>
    <w:p w:rsidR="00BA6265" w:rsidRDefault="00BA6265" w:rsidP="00085013">
      <w:pPr>
        <w:ind w:left="284" w:hanging="284"/>
        <w:rPr>
          <w:noProof/>
        </w:rPr>
      </w:pPr>
      <w:r w:rsidRPr="00AD1565">
        <w:rPr>
          <w:noProof/>
        </w:rPr>
        <w:t>3</w:t>
      </w:r>
      <w:r>
        <w:rPr>
          <w:noProof/>
        </w:rPr>
        <w:t xml:space="preserve">. </w:t>
      </w:r>
      <w:r w:rsidRPr="00AD1565">
        <w:rPr>
          <w:noProof/>
        </w:rPr>
        <w:t xml:space="preserve">O'Connor TE, Perry CF, Lannigan FJ. Complications of otitis media in Indigenous and non-Indigenous children. </w:t>
      </w:r>
      <w:r>
        <w:rPr>
          <w:noProof/>
        </w:rPr>
        <w:t>Med J Aus</w:t>
      </w:r>
      <w:r w:rsidRPr="00AD1565">
        <w:rPr>
          <w:noProof/>
        </w:rPr>
        <w:t xml:space="preserve"> 2009; </w:t>
      </w:r>
      <w:r w:rsidRPr="008A622D">
        <w:rPr>
          <w:noProof/>
        </w:rPr>
        <w:t>191:</w:t>
      </w:r>
      <w:r w:rsidRPr="00AD1565">
        <w:rPr>
          <w:noProof/>
        </w:rPr>
        <w:t xml:space="preserve"> S60–S</w:t>
      </w:r>
      <w:r>
        <w:rPr>
          <w:noProof/>
        </w:rPr>
        <w:t>6</w:t>
      </w:r>
      <w:r w:rsidRPr="00AD1565">
        <w:rPr>
          <w:noProof/>
        </w:rPr>
        <w:t>4.</w:t>
      </w:r>
      <w:bookmarkEnd w:id="11"/>
    </w:p>
    <w:p w:rsidR="00BA6265" w:rsidRDefault="00BA6265" w:rsidP="00511410">
      <w:pPr>
        <w:rPr>
          <w:noProof/>
        </w:rPr>
      </w:pPr>
      <w:bookmarkStart w:id="12" w:name="_ENREF_4"/>
    </w:p>
    <w:p w:rsidR="00BA6265" w:rsidRPr="008A622D" w:rsidRDefault="00BA6265" w:rsidP="00085013">
      <w:pPr>
        <w:ind w:left="284" w:hanging="284"/>
        <w:rPr>
          <w:noProof/>
        </w:rPr>
      </w:pPr>
      <w:r w:rsidRPr="00AD1565">
        <w:rPr>
          <w:noProof/>
        </w:rPr>
        <w:t>4</w:t>
      </w:r>
      <w:r>
        <w:rPr>
          <w:noProof/>
        </w:rPr>
        <w:t xml:space="preserve">. </w:t>
      </w:r>
      <w:r w:rsidRPr="00AD1565">
        <w:rPr>
          <w:noProof/>
        </w:rPr>
        <w:t xml:space="preserve">Osma U, Cureoglu S, Hosoglu S. The complications of chronic otitis media: report of </w:t>
      </w:r>
      <w:r w:rsidRPr="008A622D">
        <w:rPr>
          <w:noProof/>
        </w:rPr>
        <w:t xml:space="preserve">93 cases. </w:t>
      </w:r>
      <w:r>
        <w:rPr>
          <w:noProof/>
        </w:rPr>
        <w:t>J Laryngol</w:t>
      </w:r>
      <w:r w:rsidRPr="008A622D">
        <w:rPr>
          <w:noProof/>
        </w:rPr>
        <w:t xml:space="preserve"> Otol 2000; 114: 97–100.</w:t>
      </w:r>
      <w:bookmarkEnd w:id="12"/>
    </w:p>
    <w:p w:rsidR="00BA6265" w:rsidRDefault="00BA6265" w:rsidP="00511410">
      <w:pPr>
        <w:rPr>
          <w:noProof/>
        </w:rPr>
      </w:pPr>
      <w:bookmarkStart w:id="13" w:name="_ENREF_5"/>
    </w:p>
    <w:p w:rsidR="00BA6265" w:rsidRDefault="00BA6265" w:rsidP="00085013">
      <w:pPr>
        <w:ind w:left="284" w:hanging="284"/>
        <w:rPr>
          <w:noProof/>
        </w:rPr>
      </w:pPr>
      <w:r w:rsidRPr="00AD1565">
        <w:rPr>
          <w:noProof/>
        </w:rPr>
        <w:t>5</w:t>
      </w:r>
      <w:r>
        <w:rPr>
          <w:noProof/>
        </w:rPr>
        <w:t xml:space="preserve">. </w:t>
      </w:r>
      <w:r w:rsidRPr="00AD1565">
        <w:rPr>
          <w:noProof/>
        </w:rPr>
        <w:t xml:space="preserve">Torzillo P, Bethune K, Allan, </w:t>
      </w:r>
      <w:r w:rsidRPr="00AD1565">
        <w:rPr>
          <w:i/>
          <w:noProof/>
        </w:rPr>
        <w:t>et al.</w:t>
      </w:r>
      <w:r w:rsidRPr="00AD1565">
        <w:rPr>
          <w:noProof/>
        </w:rPr>
        <w:t xml:space="preserve"> Ear and hearing problems. In: Struber J, ed. </w:t>
      </w:r>
      <w:r w:rsidRPr="008A622D">
        <w:rPr>
          <w:noProof/>
        </w:rPr>
        <w:t>CARPA Standard Treatment Manual. 5th edn. Central Australian Rural Practitioners' Association, Ali</w:t>
      </w:r>
      <w:r>
        <w:rPr>
          <w:noProof/>
        </w:rPr>
        <w:t xml:space="preserve">ce Springs, </w:t>
      </w:r>
      <w:r w:rsidRPr="00AD1565">
        <w:rPr>
          <w:noProof/>
        </w:rPr>
        <w:t>2009</w:t>
      </w:r>
      <w:r>
        <w:rPr>
          <w:noProof/>
        </w:rPr>
        <w:t>;</w:t>
      </w:r>
      <w:r w:rsidRPr="00AD1565">
        <w:rPr>
          <w:noProof/>
        </w:rPr>
        <w:t xml:space="preserve"> 133</w:t>
      </w:r>
      <w:r w:rsidRPr="00512719">
        <w:rPr>
          <w:noProof/>
        </w:rPr>
        <w:t>–</w:t>
      </w:r>
      <w:r>
        <w:rPr>
          <w:noProof/>
        </w:rPr>
        <w:t>1</w:t>
      </w:r>
      <w:r w:rsidRPr="00AD1565">
        <w:rPr>
          <w:noProof/>
        </w:rPr>
        <w:t>41.</w:t>
      </w:r>
      <w:bookmarkEnd w:id="13"/>
    </w:p>
    <w:p w:rsidR="00BA6265" w:rsidRDefault="00BA6265" w:rsidP="00085013">
      <w:pPr>
        <w:ind w:left="284" w:hanging="284"/>
        <w:rPr>
          <w:noProof/>
        </w:rPr>
      </w:pPr>
      <w:bookmarkStart w:id="14" w:name="_ENREF_6"/>
    </w:p>
    <w:p w:rsidR="00BA6265" w:rsidRDefault="00BA6265" w:rsidP="00085013">
      <w:pPr>
        <w:ind w:left="284" w:hanging="284"/>
        <w:rPr>
          <w:noProof/>
        </w:rPr>
      </w:pPr>
      <w:r w:rsidRPr="00AD1565">
        <w:rPr>
          <w:noProof/>
        </w:rPr>
        <w:t>6</w:t>
      </w:r>
      <w:r>
        <w:rPr>
          <w:noProof/>
        </w:rPr>
        <w:t xml:space="preserve">. </w:t>
      </w:r>
      <w:r w:rsidRPr="00AD1565">
        <w:rPr>
          <w:noProof/>
        </w:rPr>
        <w:t xml:space="preserve">Casby MW. Otitis </w:t>
      </w:r>
      <w:r>
        <w:rPr>
          <w:noProof/>
        </w:rPr>
        <w:t>m</w:t>
      </w:r>
      <w:r w:rsidRPr="00AD1565">
        <w:rPr>
          <w:noProof/>
        </w:rPr>
        <w:t xml:space="preserve">edia and </w:t>
      </w:r>
      <w:r>
        <w:rPr>
          <w:noProof/>
        </w:rPr>
        <w:t>l</w:t>
      </w:r>
      <w:r w:rsidRPr="00AD1565">
        <w:rPr>
          <w:noProof/>
        </w:rPr>
        <w:t xml:space="preserve">anguage </w:t>
      </w:r>
      <w:r>
        <w:rPr>
          <w:noProof/>
        </w:rPr>
        <w:t>d</w:t>
      </w:r>
      <w:r w:rsidRPr="00AD1565">
        <w:rPr>
          <w:noProof/>
        </w:rPr>
        <w:t xml:space="preserve">evelopment: </w:t>
      </w:r>
      <w:r>
        <w:rPr>
          <w:noProof/>
        </w:rPr>
        <w:t>a</w:t>
      </w:r>
      <w:r w:rsidRPr="00AD1565">
        <w:rPr>
          <w:noProof/>
        </w:rPr>
        <w:t xml:space="preserve"> </w:t>
      </w:r>
      <w:r>
        <w:rPr>
          <w:noProof/>
        </w:rPr>
        <w:t>m</w:t>
      </w:r>
      <w:r w:rsidRPr="00AD1565">
        <w:rPr>
          <w:noProof/>
        </w:rPr>
        <w:t>eta-</w:t>
      </w:r>
      <w:r>
        <w:rPr>
          <w:noProof/>
        </w:rPr>
        <w:t>a</w:t>
      </w:r>
      <w:r w:rsidRPr="00AD1565">
        <w:rPr>
          <w:noProof/>
        </w:rPr>
        <w:t xml:space="preserve">nalysis. </w:t>
      </w:r>
      <w:r w:rsidRPr="008A622D">
        <w:rPr>
          <w:bCs/>
          <w:noProof/>
        </w:rPr>
        <w:t>A</w:t>
      </w:r>
      <w:r>
        <w:rPr>
          <w:bCs/>
          <w:noProof/>
        </w:rPr>
        <w:t>m</w:t>
      </w:r>
      <w:r w:rsidRPr="008A622D">
        <w:rPr>
          <w:bCs/>
          <w:noProof/>
        </w:rPr>
        <w:t xml:space="preserve"> J Speech-</w:t>
      </w:r>
      <w:r>
        <w:rPr>
          <w:bCs/>
          <w:noProof/>
        </w:rPr>
        <w:t>lang</w:t>
      </w:r>
      <w:r w:rsidRPr="008A622D">
        <w:rPr>
          <w:bCs/>
          <w:noProof/>
        </w:rPr>
        <w:t xml:space="preserve"> Pat</w:t>
      </w:r>
      <w:r>
        <w:rPr>
          <w:bCs/>
          <w:i/>
          <w:noProof/>
        </w:rPr>
        <w:t xml:space="preserve"> </w:t>
      </w:r>
      <w:r w:rsidRPr="00AD1565">
        <w:rPr>
          <w:noProof/>
        </w:rPr>
        <w:t>2001;</w:t>
      </w:r>
      <w:r>
        <w:rPr>
          <w:noProof/>
        </w:rPr>
        <w:t xml:space="preserve"> </w:t>
      </w:r>
      <w:r w:rsidRPr="008A622D">
        <w:rPr>
          <w:noProof/>
        </w:rPr>
        <w:t>10:</w:t>
      </w:r>
      <w:r>
        <w:rPr>
          <w:noProof/>
        </w:rPr>
        <w:t xml:space="preserve"> </w:t>
      </w:r>
      <w:r w:rsidRPr="00AD1565">
        <w:rPr>
          <w:noProof/>
        </w:rPr>
        <w:t>65</w:t>
      </w:r>
      <w:r w:rsidRPr="00512719">
        <w:rPr>
          <w:noProof/>
        </w:rPr>
        <w:t>–</w:t>
      </w:r>
      <w:r w:rsidRPr="00AD1565">
        <w:rPr>
          <w:noProof/>
        </w:rPr>
        <w:t>80.</w:t>
      </w:r>
      <w:bookmarkEnd w:id="14"/>
    </w:p>
    <w:p w:rsidR="00BA6265" w:rsidRDefault="00BA6265" w:rsidP="00085013">
      <w:pPr>
        <w:ind w:left="284" w:hanging="284"/>
        <w:rPr>
          <w:noProof/>
        </w:rPr>
      </w:pPr>
      <w:bookmarkStart w:id="15" w:name="_ENREF_7"/>
    </w:p>
    <w:p w:rsidR="00BA6265" w:rsidRDefault="00BA6265" w:rsidP="00085013">
      <w:pPr>
        <w:ind w:left="284" w:hanging="284"/>
        <w:rPr>
          <w:noProof/>
        </w:rPr>
      </w:pPr>
      <w:r w:rsidRPr="00AD1565">
        <w:rPr>
          <w:noProof/>
        </w:rPr>
        <w:t>7</w:t>
      </w:r>
      <w:r>
        <w:rPr>
          <w:noProof/>
        </w:rPr>
        <w:t>. Morris P, Ballinger D, Leach A</w:t>
      </w:r>
      <w:r w:rsidRPr="00AD1565">
        <w:rPr>
          <w:noProof/>
        </w:rPr>
        <w:t xml:space="preserve"> </w:t>
      </w:r>
      <w:r w:rsidRPr="00E87F04">
        <w:rPr>
          <w:noProof/>
        </w:rPr>
        <w:t>et al,</w:t>
      </w:r>
      <w:r>
        <w:rPr>
          <w:noProof/>
        </w:rPr>
        <w:t xml:space="preserve"> eds.</w:t>
      </w:r>
      <w:r w:rsidRPr="00AD1565">
        <w:rPr>
          <w:noProof/>
        </w:rPr>
        <w:t xml:space="preserve"> </w:t>
      </w:r>
      <w:r w:rsidRPr="008A622D">
        <w:rPr>
          <w:noProof/>
        </w:rPr>
        <w:t>Recommendations for clinical care guidelines on the management of otitis media in Aboriginal and Torres Strait Islander populations. Office</w:t>
      </w:r>
      <w:r w:rsidRPr="00AD1565">
        <w:rPr>
          <w:noProof/>
        </w:rPr>
        <w:t xml:space="preserve"> for Aboriginal and Torres Strait Islander Health</w:t>
      </w:r>
      <w:r>
        <w:rPr>
          <w:noProof/>
        </w:rPr>
        <w:t>, Canberra,</w:t>
      </w:r>
      <w:r w:rsidRPr="00512719">
        <w:rPr>
          <w:noProof/>
        </w:rPr>
        <w:t xml:space="preserve"> </w:t>
      </w:r>
      <w:r w:rsidRPr="00AD1565">
        <w:rPr>
          <w:noProof/>
        </w:rPr>
        <w:t>2001.</w:t>
      </w:r>
      <w:bookmarkEnd w:id="15"/>
    </w:p>
    <w:p w:rsidR="00BA6265" w:rsidRDefault="00BA6265" w:rsidP="00085013">
      <w:pPr>
        <w:ind w:left="284" w:hanging="284"/>
        <w:rPr>
          <w:noProof/>
        </w:rPr>
      </w:pPr>
      <w:bookmarkStart w:id="16" w:name="_ENREF_8"/>
    </w:p>
    <w:p w:rsidR="00BA6265" w:rsidRDefault="00BA6265" w:rsidP="00085013">
      <w:pPr>
        <w:ind w:left="284" w:hanging="284"/>
        <w:rPr>
          <w:noProof/>
        </w:rPr>
      </w:pPr>
      <w:r w:rsidRPr="00AD1565">
        <w:rPr>
          <w:noProof/>
        </w:rPr>
        <w:t>8</w:t>
      </w:r>
      <w:r>
        <w:rPr>
          <w:noProof/>
        </w:rPr>
        <w:t xml:space="preserve">. </w:t>
      </w:r>
      <w:r w:rsidRPr="00AD1565">
        <w:rPr>
          <w:noProof/>
        </w:rPr>
        <w:t>Mo</w:t>
      </w:r>
      <w:r>
        <w:rPr>
          <w:noProof/>
        </w:rPr>
        <w:t>rris PS, Leach AJ, Silberberg P</w:t>
      </w:r>
      <w:r w:rsidRPr="00AD1565">
        <w:rPr>
          <w:noProof/>
        </w:rPr>
        <w:t xml:space="preserve"> </w:t>
      </w:r>
      <w:r w:rsidRPr="00E87F04">
        <w:rPr>
          <w:noProof/>
        </w:rPr>
        <w:t>et al.</w:t>
      </w:r>
      <w:r w:rsidRPr="00AD1565">
        <w:rPr>
          <w:noProof/>
        </w:rPr>
        <w:t xml:space="preserve"> Otitis media in young Aboriginal children from remote communities in Northern and Central Australia: a cross-sectional survey. </w:t>
      </w:r>
      <w:r w:rsidRPr="008A622D">
        <w:rPr>
          <w:noProof/>
        </w:rPr>
        <w:t>BMC Pediatr</w:t>
      </w:r>
      <w:r w:rsidRPr="00AD1565">
        <w:rPr>
          <w:noProof/>
        </w:rPr>
        <w:t xml:space="preserve"> 2005;</w:t>
      </w:r>
      <w:r>
        <w:rPr>
          <w:noProof/>
        </w:rPr>
        <w:t xml:space="preserve"> </w:t>
      </w:r>
      <w:r w:rsidRPr="008A622D">
        <w:rPr>
          <w:noProof/>
        </w:rPr>
        <w:t>5:</w:t>
      </w:r>
      <w:r>
        <w:rPr>
          <w:noProof/>
        </w:rPr>
        <w:t xml:space="preserve"> 27</w:t>
      </w:r>
      <w:r w:rsidRPr="00512719">
        <w:rPr>
          <w:noProof/>
        </w:rPr>
        <w:t>–</w:t>
      </w:r>
      <w:r>
        <w:rPr>
          <w:noProof/>
        </w:rPr>
        <w:t>36.</w:t>
      </w:r>
      <w:bookmarkEnd w:id="16"/>
    </w:p>
    <w:p w:rsidR="00BA6265" w:rsidRDefault="00BA6265" w:rsidP="00511410">
      <w:pPr>
        <w:rPr>
          <w:noProof/>
        </w:rPr>
      </w:pPr>
      <w:bookmarkStart w:id="17" w:name="_ENREF_9"/>
    </w:p>
    <w:p w:rsidR="00BA6265" w:rsidRPr="00C260CA" w:rsidRDefault="00BA6265" w:rsidP="00483209">
      <w:pPr>
        <w:tabs>
          <w:tab w:val="left" w:pos="284"/>
        </w:tabs>
        <w:ind w:left="284" w:hanging="284"/>
        <w:rPr>
          <w:noProof/>
        </w:rPr>
      </w:pPr>
      <w:r w:rsidRPr="00AD1565">
        <w:rPr>
          <w:noProof/>
        </w:rPr>
        <w:t>9</w:t>
      </w:r>
      <w:r>
        <w:rPr>
          <w:noProof/>
        </w:rPr>
        <w:t xml:space="preserve">.  </w:t>
      </w:r>
      <w:r w:rsidRPr="00AD1565">
        <w:rPr>
          <w:noProof/>
        </w:rPr>
        <w:t xml:space="preserve">Gunasekera H, Knox S, Morris P, Britt H, McIntyre P, Craig JC. The spectrum and management of otitis media in Australian </w:t>
      </w:r>
      <w:r>
        <w:rPr>
          <w:noProof/>
        </w:rPr>
        <w:t>I</w:t>
      </w:r>
      <w:r w:rsidRPr="00AD1565">
        <w:rPr>
          <w:noProof/>
        </w:rPr>
        <w:t>ndigenous and non</w:t>
      </w:r>
      <w:r>
        <w:rPr>
          <w:noProof/>
        </w:rPr>
        <w:t>-I</w:t>
      </w:r>
      <w:r w:rsidRPr="00AD1565">
        <w:rPr>
          <w:noProof/>
        </w:rPr>
        <w:t xml:space="preserve">ndigenous children: a national study. </w:t>
      </w:r>
      <w:r w:rsidRPr="00C260CA">
        <w:rPr>
          <w:noProof/>
        </w:rPr>
        <w:t>Pediatr Infect Dis J 2007; 26: 689–692.</w:t>
      </w:r>
      <w:bookmarkEnd w:id="17"/>
    </w:p>
    <w:p w:rsidR="00BA6265" w:rsidRDefault="00BA6265" w:rsidP="00085013">
      <w:pPr>
        <w:ind w:left="426" w:hanging="426"/>
        <w:rPr>
          <w:noProof/>
        </w:rPr>
      </w:pPr>
      <w:bookmarkStart w:id="18" w:name="_ENREF_10"/>
    </w:p>
    <w:p w:rsidR="00BA6265" w:rsidRDefault="00BA6265" w:rsidP="00085013">
      <w:pPr>
        <w:ind w:left="426" w:hanging="426"/>
        <w:rPr>
          <w:noProof/>
        </w:rPr>
      </w:pPr>
      <w:r w:rsidRPr="00AD1565">
        <w:rPr>
          <w:noProof/>
        </w:rPr>
        <w:t>10</w:t>
      </w:r>
      <w:r>
        <w:rPr>
          <w:noProof/>
        </w:rPr>
        <w:t xml:space="preserve">. </w:t>
      </w:r>
      <w:r w:rsidRPr="00AD1565">
        <w:rPr>
          <w:noProof/>
        </w:rPr>
        <w:t xml:space="preserve">Kearns T, Clucas D, Connors C, Currie BJ, Carapetis JR, Andrews RM. Clinic attendances during the first 12 months of life for Aboriginal children in five remote communities of </w:t>
      </w:r>
      <w:r>
        <w:rPr>
          <w:noProof/>
        </w:rPr>
        <w:t>n</w:t>
      </w:r>
      <w:r w:rsidRPr="00AD1565">
        <w:rPr>
          <w:noProof/>
        </w:rPr>
        <w:t xml:space="preserve">orthern Australia. </w:t>
      </w:r>
      <w:r w:rsidRPr="00AD1565">
        <w:rPr>
          <w:i/>
          <w:noProof/>
        </w:rPr>
        <w:t>PLoS One</w:t>
      </w:r>
      <w:r>
        <w:rPr>
          <w:noProof/>
        </w:rPr>
        <w:t xml:space="preserve">. </w:t>
      </w:r>
      <w:r w:rsidRPr="00AD1565">
        <w:rPr>
          <w:noProof/>
        </w:rPr>
        <w:t>2013</w:t>
      </w:r>
      <w:r w:rsidRPr="00C260CA">
        <w:rPr>
          <w:noProof/>
        </w:rPr>
        <w:t>; 8:</w:t>
      </w:r>
      <w:r>
        <w:rPr>
          <w:noProof/>
        </w:rPr>
        <w:t xml:space="preserve"> </w:t>
      </w:r>
      <w:r w:rsidRPr="00D61367">
        <w:rPr>
          <w:noProof/>
        </w:rPr>
        <w:t>e58231</w:t>
      </w:r>
      <w:r w:rsidRPr="00F916D1">
        <w:rPr>
          <w:noProof/>
        </w:rPr>
        <w:t>.</w:t>
      </w:r>
      <w:bookmarkEnd w:id="18"/>
      <w:r w:rsidRPr="006948CD">
        <w:rPr>
          <w:rStyle w:val="Heading1Char"/>
          <w:sz w:val="24"/>
          <w:szCs w:val="24"/>
        </w:rPr>
        <w:t xml:space="preserve"> </w:t>
      </w:r>
      <w:proofErr w:type="spellStart"/>
      <w:r w:rsidRPr="006948CD">
        <w:rPr>
          <w:rStyle w:val="googqs-tidbit"/>
        </w:rPr>
        <w:t>doi</w:t>
      </w:r>
      <w:proofErr w:type="spellEnd"/>
      <w:r w:rsidRPr="006948CD">
        <w:rPr>
          <w:rStyle w:val="googqs-tidbit"/>
        </w:rPr>
        <w:t>: 10.1371/journal.pone.0058231.</w:t>
      </w:r>
    </w:p>
    <w:p w:rsidR="00BA6265" w:rsidRDefault="00BA6265" w:rsidP="00085013">
      <w:pPr>
        <w:ind w:left="426" w:hanging="426"/>
        <w:rPr>
          <w:noProof/>
        </w:rPr>
      </w:pPr>
      <w:bookmarkStart w:id="19" w:name="_ENREF_11"/>
    </w:p>
    <w:p w:rsidR="00BA6265" w:rsidRDefault="00BA6265" w:rsidP="00085013">
      <w:pPr>
        <w:ind w:left="426" w:hanging="426"/>
        <w:rPr>
          <w:noProof/>
        </w:rPr>
      </w:pPr>
      <w:r w:rsidRPr="00AD1565">
        <w:rPr>
          <w:noProof/>
        </w:rPr>
        <w:t>11</w:t>
      </w:r>
      <w:r>
        <w:rPr>
          <w:noProof/>
        </w:rPr>
        <w:t xml:space="preserve">. </w:t>
      </w:r>
      <w:r w:rsidRPr="00AD1565">
        <w:rPr>
          <w:noProof/>
        </w:rPr>
        <w:t xml:space="preserve">Ahlers-Schmidt CR, Chesser A, Hart T, Paschal A, Nguyen T, Wittler RR. Text messaging immunization reminders: </w:t>
      </w:r>
      <w:r>
        <w:rPr>
          <w:noProof/>
        </w:rPr>
        <w:t>f</w:t>
      </w:r>
      <w:r w:rsidRPr="00AD1565">
        <w:rPr>
          <w:noProof/>
        </w:rPr>
        <w:t xml:space="preserve">easibility of implementation with low-income parents. </w:t>
      </w:r>
      <w:r w:rsidRPr="00C260CA">
        <w:rPr>
          <w:noProof/>
        </w:rPr>
        <w:t>Prev Med</w:t>
      </w:r>
      <w:r w:rsidRPr="00AD1565">
        <w:rPr>
          <w:noProof/>
        </w:rPr>
        <w:t xml:space="preserve"> 2010;</w:t>
      </w:r>
      <w:r>
        <w:rPr>
          <w:noProof/>
        </w:rPr>
        <w:t xml:space="preserve"> </w:t>
      </w:r>
      <w:r w:rsidRPr="00C260CA">
        <w:rPr>
          <w:noProof/>
        </w:rPr>
        <w:t>50:</w:t>
      </w:r>
      <w:r>
        <w:rPr>
          <w:noProof/>
        </w:rPr>
        <w:t xml:space="preserve"> </w:t>
      </w:r>
      <w:r w:rsidRPr="00AD1565">
        <w:rPr>
          <w:noProof/>
        </w:rPr>
        <w:t>306</w:t>
      </w:r>
      <w:r w:rsidRPr="00512719">
        <w:rPr>
          <w:noProof/>
        </w:rPr>
        <w:t>–</w:t>
      </w:r>
      <w:r>
        <w:rPr>
          <w:noProof/>
        </w:rPr>
        <w:t>30</w:t>
      </w:r>
      <w:r w:rsidRPr="00AD1565">
        <w:rPr>
          <w:noProof/>
        </w:rPr>
        <w:t>7.</w:t>
      </w:r>
      <w:bookmarkEnd w:id="19"/>
    </w:p>
    <w:p w:rsidR="00BA6265" w:rsidRDefault="00BA6265" w:rsidP="00085013">
      <w:pPr>
        <w:ind w:left="426" w:hanging="426"/>
        <w:rPr>
          <w:noProof/>
        </w:rPr>
      </w:pPr>
      <w:bookmarkStart w:id="20" w:name="_ENREF_12"/>
    </w:p>
    <w:p w:rsidR="00BA6265" w:rsidRDefault="00BA6265" w:rsidP="00085013">
      <w:pPr>
        <w:ind w:left="426" w:hanging="426"/>
        <w:rPr>
          <w:noProof/>
        </w:rPr>
      </w:pPr>
      <w:r w:rsidRPr="00AD1565">
        <w:rPr>
          <w:noProof/>
        </w:rPr>
        <w:t>12</w:t>
      </w:r>
      <w:r>
        <w:rPr>
          <w:noProof/>
        </w:rPr>
        <w:t xml:space="preserve">. </w:t>
      </w:r>
      <w:r w:rsidRPr="00AD1565">
        <w:rPr>
          <w:noProof/>
        </w:rPr>
        <w:t>Bramley D, Riddell T, Whittaker R</w:t>
      </w:r>
      <w:r w:rsidRPr="00C260CA">
        <w:rPr>
          <w:noProof/>
        </w:rPr>
        <w:t xml:space="preserve"> et al</w:t>
      </w:r>
      <w:r w:rsidRPr="00AD1565">
        <w:rPr>
          <w:i/>
          <w:noProof/>
        </w:rPr>
        <w:t>.</w:t>
      </w:r>
      <w:r w:rsidRPr="00AD1565">
        <w:rPr>
          <w:noProof/>
        </w:rPr>
        <w:t xml:space="preserve"> Smoking cessation using mobile phone text messaging is as effective in Maori as non-Maori. </w:t>
      </w:r>
      <w:r>
        <w:rPr>
          <w:noProof/>
        </w:rPr>
        <w:t>New Zeal Med</w:t>
      </w:r>
      <w:r w:rsidRPr="00C260CA">
        <w:rPr>
          <w:noProof/>
        </w:rPr>
        <w:t xml:space="preserve"> J 2005</w:t>
      </w:r>
      <w:r w:rsidRPr="00AD1565">
        <w:rPr>
          <w:noProof/>
        </w:rPr>
        <w:t>;</w:t>
      </w:r>
      <w:r>
        <w:rPr>
          <w:noProof/>
        </w:rPr>
        <w:t xml:space="preserve"> </w:t>
      </w:r>
      <w:r w:rsidRPr="008A622D">
        <w:rPr>
          <w:noProof/>
        </w:rPr>
        <w:t>118</w:t>
      </w:r>
      <w:r w:rsidRPr="00793F6F">
        <w:rPr>
          <w:noProof/>
        </w:rPr>
        <w:t>:</w:t>
      </w:r>
      <w:r>
        <w:rPr>
          <w:noProof/>
        </w:rPr>
        <w:t xml:space="preserve"> </w:t>
      </w:r>
      <w:r w:rsidRPr="00793F6F">
        <w:rPr>
          <w:noProof/>
        </w:rPr>
        <w:t>1494</w:t>
      </w:r>
      <w:r w:rsidRPr="00512719">
        <w:rPr>
          <w:noProof/>
        </w:rPr>
        <w:t>–</w:t>
      </w:r>
      <w:r w:rsidRPr="00793F6F">
        <w:rPr>
          <w:noProof/>
        </w:rPr>
        <w:t>1498</w:t>
      </w:r>
      <w:r>
        <w:rPr>
          <w:noProof/>
        </w:rPr>
        <w:t>.</w:t>
      </w:r>
      <w:bookmarkEnd w:id="20"/>
    </w:p>
    <w:p w:rsidR="00BA6265" w:rsidRDefault="00BA6265" w:rsidP="00085013">
      <w:pPr>
        <w:ind w:left="426" w:hanging="426"/>
        <w:rPr>
          <w:noProof/>
        </w:rPr>
      </w:pPr>
      <w:bookmarkStart w:id="21" w:name="_ENREF_17"/>
    </w:p>
    <w:p w:rsidR="00BA6265" w:rsidRDefault="00BA6265" w:rsidP="00085013">
      <w:pPr>
        <w:ind w:left="426" w:hanging="426"/>
        <w:rPr>
          <w:noProof/>
        </w:rPr>
      </w:pPr>
      <w:r>
        <w:rPr>
          <w:noProof/>
        </w:rPr>
        <w:t xml:space="preserve">13. </w:t>
      </w:r>
      <w:r w:rsidRPr="00AD1565">
        <w:rPr>
          <w:noProof/>
        </w:rPr>
        <w:t xml:space="preserve">Dyson LE, Brady F. Mobile </w:t>
      </w:r>
      <w:r>
        <w:rPr>
          <w:noProof/>
        </w:rPr>
        <w:t>p</w:t>
      </w:r>
      <w:r w:rsidRPr="00AD1565">
        <w:rPr>
          <w:noProof/>
        </w:rPr>
        <w:t xml:space="preserve">hone </w:t>
      </w:r>
      <w:r>
        <w:rPr>
          <w:noProof/>
        </w:rPr>
        <w:t>a</w:t>
      </w:r>
      <w:r w:rsidRPr="00AD1565">
        <w:rPr>
          <w:noProof/>
        </w:rPr>
        <w:t xml:space="preserve">doption and </w:t>
      </w:r>
      <w:r>
        <w:rPr>
          <w:noProof/>
        </w:rPr>
        <w:t>u</w:t>
      </w:r>
      <w:r w:rsidRPr="00AD1565">
        <w:rPr>
          <w:noProof/>
        </w:rPr>
        <w:t xml:space="preserve">se in </w:t>
      </w:r>
      <w:r>
        <w:rPr>
          <w:noProof/>
        </w:rPr>
        <w:t>L</w:t>
      </w:r>
      <w:r w:rsidRPr="00AD1565">
        <w:rPr>
          <w:noProof/>
        </w:rPr>
        <w:t xml:space="preserve">ockhart River Aboriginal Community.  </w:t>
      </w:r>
      <w:r>
        <w:rPr>
          <w:noProof/>
        </w:rPr>
        <w:t xml:space="preserve">In: </w:t>
      </w:r>
      <w:r w:rsidRPr="00C260CA">
        <w:rPr>
          <w:noProof/>
        </w:rPr>
        <w:t>Eighth International Conference on Mobile Business, 7–8 July 2008, Barcelona, Spain, 2009</w:t>
      </w:r>
      <w:r>
        <w:rPr>
          <w:noProof/>
        </w:rPr>
        <w:t>;</w:t>
      </w:r>
      <w:r w:rsidRPr="00AD1565">
        <w:rPr>
          <w:noProof/>
        </w:rPr>
        <w:t xml:space="preserve"> 170</w:t>
      </w:r>
      <w:r w:rsidRPr="00512719">
        <w:rPr>
          <w:noProof/>
        </w:rPr>
        <w:t>–</w:t>
      </w:r>
      <w:r>
        <w:rPr>
          <w:noProof/>
        </w:rPr>
        <w:t>17</w:t>
      </w:r>
      <w:r w:rsidRPr="00AD1565">
        <w:rPr>
          <w:noProof/>
        </w:rPr>
        <w:t>5.</w:t>
      </w:r>
      <w:bookmarkEnd w:id="21"/>
    </w:p>
    <w:p w:rsidR="00BA6265" w:rsidRDefault="00BA6265" w:rsidP="00085013">
      <w:pPr>
        <w:ind w:left="426" w:hanging="426"/>
        <w:rPr>
          <w:noProof/>
        </w:rPr>
      </w:pPr>
      <w:bookmarkStart w:id="22" w:name="_ENREF_18"/>
    </w:p>
    <w:p w:rsidR="00BA6265" w:rsidRPr="00C260CA" w:rsidRDefault="00BA6265" w:rsidP="00085013">
      <w:pPr>
        <w:ind w:left="426" w:hanging="426"/>
        <w:rPr>
          <w:noProof/>
        </w:rPr>
      </w:pPr>
      <w:r>
        <w:rPr>
          <w:noProof/>
        </w:rPr>
        <w:t xml:space="preserve">14. </w:t>
      </w:r>
      <w:r w:rsidRPr="00AD1565">
        <w:rPr>
          <w:noProof/>
        </w:rPr>
        <w:t xml:space="preserve">Tangentyere Council and the Central Land Council NT. </w:t>
      </w:r>
      <w:r w:rsidRPr="00C260CA">
        <w:rPr>
          <w:noProof/>
        </w:rPr>
        <w:t>Ingerrekenhe Antirrkweme: Mobile phone use among low income Aboriginal people, a Central Australian snapshot. Tangentyere Council and the Central Land Council, Alice Springs. 2009.</w:t>
      </w:r>
      <w:bookmarkEnd w:id="22"/>
    </w:p>
    <w:p w:rsidR="00BA6265" w:rsidRDefault="00BA6265" w:rsidP="00085013">
      <w:pPr>
        <w:ind w:left="426" w:hanging="426"/>
        <w:rPr>
          <w:noProof/>
        </w:rPr>
      </w:pPr>
      <w:bookmarkStart w:id="23" w:name="_ENREF_13"/>
    </w:p>
    <w:p w:rsidR="00BA6265" w:rsidRDefault="00BA6265" w:rsidP="00085013">
      <w:pPr>
        <w:ind w:left="426" w:hanging="426"/>
        <w:rPr>
          <w:noProof/>
        </w:rPr>
      </w:pPr>
      <w:r>
        <w:rPr>
          <w:noProof/>
        </w:rPr>
        <w:lastRenderedPageBreak/>
        <w:t xml:space="preserve">15. </w:t>
      </w:r>
      <w:r w:rsidRPr="00AD1565">
        <w:rPr>
          <w:noProof/>
        </w:rPr>
        <w:t>Haug S, Meyer C, Gross B</w:t>
      </w:r>
      <w:r w:rsidRPr="00C260CA">
        <w:rPr>
          <w:i/>
          <w:noProof/>
        </w:rPr>
        <w:t xml:space="preserve"> </w:t>
      </w:r>
      <w:r w:rsidRPr="00C260CA">
        <w:rPr>
          <w:noProof/>
        </w:rPr>
        <w:t>et al.</w:t>
      </w:r>
      <w:r w:rsidRPr="00AD1565">
        <w:rPr>
          <w:noProof/>
        </w:rPr>
        <w:t xml:space="preserve"> Continuous individual support of smoking cessation in socially deprived young adults via mobile phones</w:t>
      </w:r>
      <w:r>
        <w:rPr>
          <w:noProof/>
        </w:rPr>
        <w:t xml:space="preserve"> </w:t>
      </w:r>
      <w:r w:rsidRPr="00512719">
        <w:rPr>
          <w:noProof/>
        </w:rPr>
        <w:t>–</w:t>
      </w:r>
      <w:r>
        <w:rPr>
          <w:noProof/>
        </w:rPr>
        <w:t xml:space="preserve"> </w:t>
      </w:r>
      <w:r w:rsidRPr="00AD1565">
        <w:rPr>
          <w:noProof/>
        </w:rPr>
        <w:t xml:space="preserve">results of a pilot study. </w:t>
      </w:r>
      <w:r w:rsidRPr="00C260CA">
        <w:rPr>
          <w:noProof/>
        </w:rPr>
        <w:t xml:space="preserve">Gesundheitswesen </w:t>
      </w:r>
      <w:r w:rsidRPr="00AD1565">
        <w:rPr>
          <w:noProof/>
        </w:rPr>
        <w:t>2008</w:t>
      </w:r>
      <w:r>
        <w:rPr>
          <w:noProof/>
        </w:rPr>
        <w:t>;</w:t>
      </w:r>
      <w:r w:rsidRPr="00AD1565">
        <w:rPr>
          <w:noProof/>
        </w:rPr>
        <w:t xml:space="preserve"> </w:t>
      </w:r>
      <w:r w:rsidRPr="00C260CA">
        <w:rPr>
          <w:noProof/>
        </w:rPr>
        <w:t>70</w:t>
      </w:r>
      <w:r w:rsidRPr="00AD1565">
        <w:rPr>
          <w:noProof/>
        </w:rPr>
        <w:t>:</w:t>
      </w:r>
      <w:r>
        <w:rPr>
          <w:noProof/>
        </w:rPr>
        <w:t xml:space="preserve"> </w:t>
      </w:r>
      <w:r w:rsidRPr="00AD1565">
        <w:rPr>
          <w:noProof/>
        </w:rPr>
        <w:t>364</w:t>
      </w:r>
      <w:r w:rsidRPr="00512719">
        <w:rPr>
          <w:noProof/>
        </w:rPr>
        <w:t>–</w:t>
      </w:r>
      <w:r>
        <w:rPr>
          <w:noProof/>
        </w:rPr>
        <w:t>3</w:t>
      </w:r>
      <w:r w:rsidRPr="00AD1565">
        <w:rPr>
          <w:noProof/>
        </w:rPr>
        <w:t>71.</w:t>
      </w:r>
      <w:bookmarkEnd w:id="23"/>
    </w:p>
    <w:p w:rsidR="00BA6265" w:rsidRDefault="00BA6265" w:rsidP="00085013">
      <w:pPr>
        <w:ind w:left="426" w:hanging="426"/>
        <w:rPr>
          <w:noProof/>
        </w:rPr>
      </w:pPr>
      <w:bookmarkStart w:id="24" w:name="_ENREF_14"/>
    </w:p>
    <w:p w:rsidR="00BA6265" w:rsidRDefault="00BA6265" w:rsidP="00085013">
      <w:pPr>
        <w:ind w:left="426" w:hanging="426"/>
        <w:rPr>
          <w:noProof/>
        </w:rPr>
      </w:pPr>
      <w:r>
        <w:rPr>
          <w:noProof/>
        </w:rPr>
        <w:t xml:space="preserve">16. </w:t>
      </w:r>
      <w:r w:rsidRPr="00AD1565">
        <w:rPr>
          <w:noProof/>
        </w:rPr>
        <w:t>K</w:t>
      </w:r>
      <w:r>
        <w:rPr>
          <w:noProof/>
        </w:rPr>
        <w:t>unutsor S, Walley J, Katabira E</w:t>
      </w:r>
      <w:r w:rsidRPr="00AD1565">
        <w:rPr>
          <w:noProof/>
        </w:rPr>
        <w:t xml:space="preserve"> </w:t>
      </w:r>
      <w:r w:rsidRPr="00C260CA">
        <w:rPr>
          <w:noProof/>
        </w:rPr>
        <w:t>et al</w:t>
      </w:r>
      <w:r w:rsidRPr="00AD1565">
        <w:rPr>
          <w:i/>
          <w:noProof/>
        </w:rPr>
        <w:t>.</w:t>
      </w:r>
      <w:r w:rsidRPr="00AD1565">
        <w:rPr>
          <w:noProof/>
        </w:rPr>
        <w:t xml:space="preserve"> Using mobile phones to improve clinic attendance amongst an antiretroviral treatment cohort in rural Uganda: a cross-sectional and prospective study. </w:t>
      </w:r>
      <w:r>
        <w:rPr>
          <w:noProof/>
        </w:rPr>
        <w:t>AIDS Behav</w:t>
      </w:r>
      <w:r w:rsidRPr="00C260CA">
        <w:rPr>
          <w:noProof/>
        </w:rPr>
        <w:t xml:space="preserve"> 2010</w:t>
      </w:r>
      <w:r w:rsidRPr="00AD1565">
        <w:rPr>
          <w:noProof/>
        </w:rPr>
        <w:t>;</w:t>
      </w:r>
      <w:r>
        <w:rPr>
          <w:noProof/>
        </w:rPr>
        <w:t xml:space="preserve"> </w:t>
      </w:r>
      <w:r w:rsidRPr="00C260CA">
        <w:rPr>
          <w:noProof/>
        </w:rPr>
        <w:t>14:</w:t>
      </w:r>
      <w:r>
        <w:rPr>
          <w:noProof/>
        </w:rPr>
        <w:t xml:space="preserve"> </w:t>
      </w:r>
      <w:r w:rsidRPr="00AD1565">
        <w:rPr>
          <w:noProof/>
        </w:rPr>
        <w:t>1347</w:t>
      </w:r>
      <w:r w:rsidRPr="00512719">
        <w:rPr>
          <w:noProof/>
        </w:rPr>
        <w:t>–</w:t>
      </w:r>
      <w:r>
        <w:rPr>
          <w:noProof/>
        </w:rPr>
        <w:t>13</w:t>
      </w:r>
      <w:r w:rsidRPr="00AD1565">
        <w:rPr>
          <w:noProof/>
        </w:rPr>
        <w:t>52.</w:t>
      </w:r>
      <w:bookmarkEnd w:id="24"/>
    </w:p>
    <w:p w:rsidR="00BA6265" w:rsidRDefault="00BA6265" w:rsidP="00085013">
      <w:pPr>
        <w:ind w:left="426" w:hanging="426"/>
        <w:rPr>
          <w:noProof/>
        </w:rPr>
      </w:pPr>
      <w:bookmarkStart w:id="25" w:name="_ENREF_15"/>
    </w:p>
    <w:p w:rsidR="00BA6265" w:rsidRDefault="00BA6265" w:rsidP="00085013">
      <w:pPr>
        <w:ind w:left="426" w:hanging="426"/>
        <w:rPr>
          <w:noProof/>
        </w:rPr>
      </w:pPr>
      <w:r>
        <w:rPr>
          <w:noProof/>
        </w:rPr>
        <w:t>17. Lester RT, Ritvo P, Mills EJ</w:t>
      </w:r>
      <w:r w:rsidRPr="00AD1565">
        <w:rPr>
          <w:noProof/>
        </w:rPr>
        <w:t xml:space="preserve"> </w:t>
      </w:r>
      <w:r w:rsidRPr="00C260CA">
        <w:rPr>
          <w:noProof/>
        </w:rPr>
        <w:t>et al.</w:t>
      </w:r>
      <w:r w:rsidRPr="00AD1565">
        <w:rPr>
          <w:noProof/>
        </w:rPr>
        <w:t xml:space="preserve"> Effects of a mobile phone short message service on antiretroviral treatment adherence in Kenya (WelTel Kenya1): a randomised trial. </w:t>
      </w:r>
      <w:r>
        <w:rPr>
          <w:noProof/>
        </w:rPr>
        <w:t>The Lancet</w:t>
      </w:r>
      <w:r w:rsidRPr="00C260CA">
        <w:rPr>
          <w:noProof/>
        </w:rPr>
        <w:t xml:space="preserve"> 2010</w:t>
      </w:r>
      <w:r w:rsidRPr="00AD1565">
        <w:rPr>
          <w:noProof/>
        </w:rPr>
        <w:t>;</w:t>
      </w:r>
      <w:r>
        <w:rPr>
          <w:noProof/>
        </w:rPr>
        <w:t xml:space="preserve"> </w:t>
      </w:r>
      <w:r w:rsidRPr="00C260CA">
        <w:rPr>
          <w:noProof/>
        </w:rPr>
        <w:t>376:</w:t>
      </w:r>
      <w:r>
        <w:rPr>
          <w:noProof/>
        </w:rPr>
        <w:t xml:space="preserve"> </w:t>
      </w:r>
      <w:r w:rsidRPr="00AD1565">
        <w:rPr>
          <w:noProof/>
        </w:rPr>
        <w:t>1838</w:t>
      </w:r>
      <w:r w:rsidRPr="00512719">
        <w:rPr>
          <w:noProof/>
        </w:rPr>
        <w:t>–</w:t>
      </w:r>
      <w:r>
        <w:rPr>
          <w:noProof/>
        </w:rPr>
        <w:t>18</w:t>
      </w:r>
      <w:r w:rsidRPr="00AD1565">
        <w:rPr>
          <w:noProof/>
        </w:rPr>
        <w:t>45.</w:t>
      </w:r>
      <w:bookmarkEnd w:id="25"/>
    </w:p>
    <w:p w:rsidR="00BA6265" w:rsidRDefault="00BA6265" w:rsidP="00085013">
      <w:pPr>
        <w:ind w:left="426" w:hanging="426"/>
        <w:rPr>
          <w:noProof/>
        </w:rPr>
      </w:pPr>
      <w:bookmarkStart w:id="26" w:name="_ENREF_16"/>
    </w:p>
    <w:p w:rsidR="00BA6265" w:rsidRDefault="00BA6265" w:rsidP="00085013">
      <w:pPr>
        <w:ind w:left="426" w:hanging="426"/>
        <w:rPr>
          <w:noProof/>
        </w:rPr>
      </w:pPr>
      <w:r>
        <w:rPr>
          <w:noProof/>
        </w:rPr>
        <w:t xml:space="preserve">18. </w:t>
      </w:r>
      <w:r w:rsidRPr="00AD1565">
        <w:rPr>
          <w:noProof/>
        </w:rPr>
        <w:t xml:space="preserve">Pop-Eleches </w:t>
      </w:r>
      <w:r>
        <w:rPr>
          <w:noProof/>
        </w:rPr>
        <w:t>C, Thirumurthy H, Habyarimana J</w:t>
      </w:r>
      <w:r w:rsidRPr="00AD1565">
        <w:rPr>
          <w:noProof/>
        </w:rPr>
        <w:t xml:space="preserve"> </w:t>
      </w:r>
      <w:r w:rsidRPr="00C260CA">
        <w:rPr>
          <w:noProof/>
        </w:rPr>
        <w:t>et al.</w:t>
      </w:r>
      <w:r w:rsidRPr="00AD1565">
        <w:rPr>
          <w:noProof/>
        </w:rPr>
        <w:t xml:space="preserve"> Mobile phone technologies improve adherence to antiretroviral treatment in a resource-limited setting: a randomized controlled trial of text message reminders. </w:t>
      </w:r>
      <w:r w:rsidRPr="00D61367">
        <w:rPr>
          <w:noProof/>
        </w:rPr>
        <w:t>AIDS</w:t>
      </w:r>
      <w:r w:rsidRPr="00AD1565">
        <w:rPr>
          <w:noProof/>
        </w:rPr>
        <w:t xml:space="preserve"> 2011</w:t>
      </w:r>
      <w:r w:rsidRPr="00D61367">
        <w:rPr>
          <w:noProof/>
        </w:rPr>
        <w:t xml:space="preserve">; </w:t>
      </w:r>
      <w:r w:rsidRPr="00536518">
        <w:rPr>
          <w:noProof/>
        </w:rPr>
        <w:t>25:</w:t>
      </w:r>
      <w:r>
        <w:rPr>
          <w:noProof/>
        </w:rPr>
        <w:t xml:space="preserve"> </w:t>
      </w:r>
      <w:r w:rsidRPr="00D61367">
        <w:rPr>
          <w:noProof/>
        </w:rPr>
        <w:t>825</w:t>
      </w:r>
      <w:r w:rsidRPr="00512719">
        <w:rPr>
          <w:noProof/>
        </w:rPr>
        <w:t>–</w:t>
      </w:r>
      <w:r w:rsidRPr="00D61367">
        <w:rPr>
          <w:noProof/>
        </w:rPr>
        <w:t>834</w:t>
      </w:r>
      <w:r>
        <w:rPr>
          <w:noProof/>
        </w:rPr>
        <w:t>.</w:t>
      </w:r>
      <w:bookmarkEnd w:id="26"/>
    </w:p>
    <w:p w:rsidR="00BA6265" w:rsidRDefault="00BA6265" w:rsidP="00085013">
      <w:pPr>
        <w:ind w:left="426" w:hanging="426"/>
        <w:rPr>
          <w:noProof/>
        </w:rPr>
      </w:pPr>
    </w:p>
    <w:p w:rsidR="00BA6265" w:rsidRDefault="00BA6265" w:rsidP="00085013">
      <w:pPr>
        <w:ind w:left="426" w:hanging="426"/>
        <w:rPr>
          <w:noProof/>
        </w:rPr>
      </w:pPr>
      <w:r w:rsidRPr="00D61367">
        <w:rPr>
          <w:noProof/>
        </w:rPr>
        <w:t>19</w:t>
      </w:r>
      <w:r>
        <w:rPr>
          <w:noProof/>
        </w:rPr>
        <w:t xml:space="preserve">. </w:t>
      </w:r>
      <w:r w:rsidRPr="00D61367">
        <w:rPr>
          <w:noProof/>
        </w:rPr>
        <w:t>StataCorp. 2009. Stata Statistical Software: Release 11. College Station, TX: StataCorp LP.</w:t>
      </w:r>
    </w:p>
    <w:p w:rsidR="00BA6265" w:rsidRDefault="00BA6265" w:rsidP="00085013">
      <w:pPr>
        <w:ind w:left="426" w:hanging="426"/>
        <w:rPr>
          <w:noProof/>
        </w:rPr>
      </w:pPr>
      <w:bookmarkStart w:id="27" w:name="_ENREF_19"/>
    </w:p>
    <w:p w:rsidR="00BA6265" w:rsidRDefault="00BA6265" w:rsidP="00085013">
      <w:pPr>
        <w:ind w:left="426" w:hanging="426"/>
        <w:rPr>
          <w:noProof/>
        </w:rPr>
      </w:pPr>
      <w:r>
        <w:rPr>
          <w:noProof/>
        </w:rPr>
        <w:t>20. Whittaker R, Dorey E, Bramley D</w:t>
      </w:r>
      <w:r w:rsidRPr="00AD1565">
        <w:rPr>
          <w:noProof/>
        </w:rPr>
        <w:t xml:space="preserve"> </w:t>
      </w:r>
      <w:r w:rsidRPr="00536518">
        <w:rPr>
          <w:noProof/>
        </w:rPr>
        <w:t>et al</w:t>
      </w:r>
      <w:r w:rsidRPr="00AD1565">
        <w:rPr>
          <w:i/>
          <w:noProof/>
        </w:rPr>
        <w:t>.</w:t>
      </w:r>
      <w:r w:rsidRPr="00AD1565">
        <w:rPr>
          <w:noProof/>
        </w:rPr>
        <w:t xml:space="preserve"> A theory-based video messaging mobile phone intervention for smoking cessation: randomized controlled trial. </w:t>
      </w:r>
      <w:r w:rsidRPr="00536518">
        <w:rPr>
          <w:noProof/>
        </w:rPr>
        <w:t>J Med Internet Res</w:t>
      </w:r>
      <w:r w:rsidRPr="00AD1565">
        <w:rPr>
          <w:noProof/>
        </w:rPr>
        <w:t xml:space="preserve"> 2011;</w:t>
      </w:r>
      <w:r>
        <w:rPr>
          <w:noProof/>
        </w:rPr>
        <w:t xml:space="preserve"> </w:t>
      </w:r>
      <w:r w:rsidRPr="00536518">
        <w:rPr>
          <w:noProof/>
        </w:rPr>
        <w:t>13:</w:t>
      </w:r>
      <w:r>
        <w:rPr>
          <w:noProof/>
        </w:rPr>
        <w:t xml:space="preserve"> </w:t>
      </w:r>
      <w:r w:rsidRPr="00D61367">
        <w:rPr>
          <w:noProof/>
        </w:rPr>
        <w:t>e10</w:t>
      </w:r>
      <w:r w:rsidRPr="00793F6F">
        <w:rPr>
          <w:noProof/>
        </w:rPr>
        <w:t>.</w:t>
      </w:r>
      <w:bookmarkEnd w:id="27"/>
      <w:r>
        <w:rPr>
          <w:noProof/>
        </w:rPr>
        <w:t xml:space="preserve"> </w:t>
      </w:r>
      <w:r w:rsidRPr="00B771CA">
        <w:rPr>
          <w:noProof/>
        </w:rPr>
        <w:t>doi:10.2196/jmir.1553</w:t>
      </w:r>
      <w:r>
        <w:rPr>
          <w:noProof/>
        </w:rPr>
        <w:t>.</w:t>
      </w:r>
    </w:p>
    <w:p w:rsidR="00BA6265" w:rsidRDefault="00BA6265" w:rsidP="00660039"/>
    <w:p w:rsidR="00BA6265" w:rsidRDefault="00BA6265">
      <w:pPr>
        <w:rPr>
          <w:b/>
        </w:rPr>
      </w:pPr>
      <w:r>
        <w:rPr>
          <w:b/>
        </w:rPr>
        <w:br w:type="page"/>
      </w:r>
    </w:p>
    <w:p w:rsidR="00BA6265" w:rsidRPr="00365B55" w:rsidRDefault="00BA6265" w:rsidP="00BC29AC">
      <w:pPr>
        <w:pStyle w:val="Heading7"/>
      </w:pPr>
      <w:r>
        <w:lastRenderedPageBreak/>
        <w:t xml:space="preserve">Project 4 </w:t>
      </w:r>
    </w:p>
    <w:p w:rsidR="00BA6265" w:rsidRDefault="00BA6265" w:rsidP="00660039">
      <w:pPr>
        <w:rPr>
          <w:b/>
        </w:rPr>
      </w:pPr>
    </w:p>
    <w:p w:rsidR="00BA6265" w:rsidRDefault="00BA6265" w:rsidP="00FC18C9">
      <w:pPr>
        <w:pStyle w:val="ListParagraph"/>
        <w:numPr>
          <w:ilvl w:val="0"/>
          <w:numId w:val="13"/>
        </w:numPr>
        <w:rPr>
          <w:noProof/>
        </w:rPr>
      </w:pPr>
      <w:r w:rsidRPr="0026750F">
        <w:rPr>
          <w:noProof/>
        </w:rPr>
        <w:t>Li SQ, Guthridge SL, Tursan d’Espaignet E, Paterson BA. From infancy to young adulthood: health status in the Northern Territory 2006. Department of Health and Community Services, Darwin, 2007.</w:t>
      </w:r>
    </w:p>
    <w:p w:rsidR="00BA6265" w:rsidRPr="008C68D1" w:rsidRDefault="00BA6265" w:rsidP="00660039">
      <w:pPr>
        <w:pStyle w:val="ListParagraph"/>
        <w:widowControl w:val="0"/>
        <w:autoSpaceDE w:val="0"/>
        <w:autoSpaceDN w:val="0"/>
        <w:adjustRightInd w:val="0"/>
        <w:rPr>
          <w:noProof/>
        </w:rPr>
      </w:pPr>
    </w:p>
    <w:p w:rsidR="00BA6265" w:rsidRDefault="00BA6265" w:rsidP="00FC18C9">
      <w:pPr>
        <w:pStyle w:val="ListParagraph"/>
        <w:numPr>
          <w:ilvl w:val="0"/>
          <w:numId w:val="13"/>
        </w:numPr>
        <w:rPr>
          <w:noProof/>
        </w:rPr>
      </w:pPr>
      <w:r w:rsidRPr="008C68D1">
        <w:rPr>
          <w:noProof/>
        </w:rPr>
        <w:t xml:space="preserve">Australian Government Department of Health and Ageing. Progress of the Northern Territory Emergency Response Child Health Check Initiative: Health Conditions and Referrals. 2008. </w:t>
      </w:r>
    </w:p>
    <w:p w:rsidR="00536BD5" w:rsidRDefault="00536BD5" w:rsidP="00536BD5">
      <w:pPr>
        <w:rPr>
          <w:noProof/>
        </w:rPr>
      </w:pPr>
    </w:p>
    <w:p w:rsidR="00BA6265" w:rsidRPr="008C68D1" w:rsidRDefault="00BA6265" w:rsidP="00FC18C9">
      <w:pPr>
        <w:pStyle w:val="ListParagraph"/>
        <w:numPr>
          <w:ilvl w:val="0"/>
          <w:numId w:val="13"/>
        </w:numPr>
        <w:rPr>
          <w:noProof/>
        </w:rPr>
      </w:pPr>
      <w:r>
        <w:rPr>
          <w:noProof/>
        </w:rPr>
        <w:t xml:space="preserve">Lieberthal AS, Carroll AE, Chonmaitree T, Ganiats TG et al.  </w:t>
      </w:r>
      <w:r w:rsidRPr="008C68D1">
        <w:rPr>
          <w:noProof/>
        </w:rPr>
        <w:t>The Diagnosis and Man</w:t>
      </w:r>
      <w:r>
        <w:rPr>
          <w:noProof/>
        </w:rPr>
        <w:t>agement of Acute Otitis Media. Pediatrics 2013;</w:t>
      </w:r>
      <w:r w:rsidRPr="008C68D1">
        <w:rPr>
          <w:noProof/>
        </w:rPr>
        <w:t xml:space="preserve"> 131</w:t>
      </w:r>
      <w:r>
        <w:rPr>
          <w:noProof/>
        </w:rPr>
        <w:t>:</w:t>
      </w:r>
      <w:r w:rsidRPr="008C68D1">
        <w:rPr>
          <w:noProof/>
        </w:rPr>
        <w:t xml:space="preserve"> (3), 964-99</w:t>
      </w:r>
      <w:r>
        <w:rPr>
          <w:noProof/>
        </w:rPr>
        <w:t>.</w:t>
      </w:r>
    </w:p>
    <w:p w:rsidR="00BA6265" w:rsidRDefault="00BA6265" w:rsidP="00660039">
      <w:pPr>
        <w:rPr>
          <w:noProof/>
        </w:rPr>
      </w:pPr>
    </w:p>
    <w:p w:rsidR="00BA6265" w:rsidRPr="008C68D1" w:rsidRDefault="00BA6265" w:rsidP="00FC18C9">
      <w:pPr>
        <w:pStyle w:val="ListParagraph"/>
        <w:numPr>
          <w:ilvl w:val="0"/>
          <w:numId w:val="13"/>
        </w:numPr>
        <w:rPr>
          <w:noProof/>
        </w:rPr>
      </w:pPr>
      <w:r w:rsidRPr="008C68D1">
        <w:rPr>
          <w:noProof/>
        </w:rPr>
        <w:t xml:space="preserve">Bidadi S, Nejadkazem M, Naderpour M. </w:t>
      </w:r>
      <w:hyperlink r:id="rId24" w:history="1">
        <w:r w:rsidRPr="008C68D1">
          <w:rPr>
            <w:noProof/>
          </w:rPr>
          <w:t>"The relationship between chronic otitis media-induced hearing loss and the acquisition of social skills"</w:t>
        </w:r>
      </w:hyperlink>
      <w:r w:rsidRPr="008C68D1">
        <w:rPr>
          <w:noProof/>
        </w:rPr>
        <w:t>. Otolaryngol Head Neck Surg</w:t>
      </w:r>
      <w:r>
        <w:rPr>
          <w:noProof/>
        </w:rPr>
        <w:t xml:space="preserve"> 2008;</w:t>
      </w:r>
      <w:r w:rsidRPr="008C68D1">
        <w:rPr>
          <w:noProof/>
        </w:rPr>
        <w:t xml:space="preserve"> 139 (5): 665–70</w:t>
      </w:r>
    </w:p>
    <w:p w:rsidR="00BA6265" w:rsidRDefault="00BA6265" w:rsidP="00A601EF"/>
    <w:p w:rsidR="00BA6265" w:rsidRDefault="00BA6265" w:rsidP="00FC18C9">
      <w:pPr>
        <w:pStyle w:val="ListParagraph"/>
        <w:numPr>
          <w:ilvl w:val="0"/>
          <w:numId w:val="13"/>
        </w:numPr>
        <w:tabs>
          <w:tab w:val="right" w:pos="360"/>
          <w:tab w:val="left" w:pos="540"/>
        </w:tabs>
        <w:spacing w:after="240"/>
        <w:sectPr w:rsidR="00BA6265" w:rsidSect="00660039">
          <w:pgSz w:w="11906" w:h="16838"/>
          <w:pgMar w:top="1134" w:right="991" w:bottom="1134" w:left="1134" w:header="567" w:footer="567" w:gutter="0"/>
          <w:cols w:space="708"/>
          <w:docGrid w:linePitch="360"/>
        </w:sectPr>
      </w:pPr>
      <w:r w:rsidRPr="00B96EAD">
        <w:t>Morris P, Leach A, Shah P et al. Recommendations for Clinical Care Guidelines on the Management of Otitis Media in Aboriginal and Torres Strait Islander Populations (Updated 2010). Canberra: Commonwealth of Australia; 2011.</w:t>
      </w:r>
      <w:r w:rsidR="00536BD5">
        <w:t xml:space="preserve"> </w:t>
      </w:r>
    </w:p>
    <w:tbl>
      <w:tblPr>
        <w:tblpPr w:leftFromText="180" w:rightFromText="180" w:vertAnchor="page" w:horzAnchor="margin" w:tblpXSpec="center" w:tblpY="991"/>
        <w:tblW w:w="0" w:type="auto"/>
        <w:tblBorders>
          <w:bottom w:val="single" w:sz="4" w:space="0" w:color="auto"/>
          <w:insideH w:val="single" w:sz="4" w:space="0" w:color="auto"/>
          <w:insideV w:val="single" w:sz="4" w:space="0" w:color="BFBFBF"/>
        </w:tblBorders>
        <w:tblLook w:val="0000" w:firstRow="0" w:lastRow="0" w:firstColumn="0" w:lastColumn="0" w:noHBand="0" w:noVBand="0"/>
      </w:tblPr>
      <w:tblGrid>
        <w:gridCol w:w="2639"/>
        <w:gridCol w:w="723"/>
        <w:gridCol w:w="2420"/>
        <w:gridCol w:w="2355"/>
        <w:gridCol w:w="3266"/>
        <w:gridCol w:w="3385"/>
      </w:tblGrid>
      <w:tr w:rsidR="00BA6265" w:rsidRPr="00244C91" w:rsidTr="00B426AB">
        <w:trPr>
          <w:trHeight w:val="459"/>
          <w:tblHeader/>
        </w:trPr>
        <w:tc>
          <w:tcPr>
            <w:tcW w:w="0" w:type="auto"/>
            <w:gridSpan w:val="6"/>
            <w:vAlign w:val="center"/>
          </w:tcPr>
          <w:p w:rsidR="00BA6265" w:rsidRPr="00244C91" w:rsidRDefault="00BA6265" w:rsidP="00BC29AC">
            <w:pPr>
              <w:pStyle w:val="Heading6"/>
            </w:pPr>
            <w:r w:rsidRPr="00244C91">
              <w:lastRenderedPageBreak/>
              <w:t>APPENDIX 1</w:t>
            </w:r>
          </w:p>
          <w:p w:rsidR="00BA6265" w:rsidRPr="00244C91" w:rsidRDefault="00BA6265" w:rsidP="006856D9">
            <w:pPr>
              <w:keepNext/>
              <w:rPr>
                <w:b/>
                <w:color w:val="000000"/>
              </w:rPr>
            </w:pPr>
          </w:p>
          <w:p w:rsidR="00BA6265" w:rsidRPr="00244C91" w:rsidRDefault="00BA6265" w:rsidP="006856D9">
            <w:pPr>
              <w:keepNext/>
              <w:rPr>
                <w:color w:val="000000"/>
              </w:rPr>
            </w:pPr>
            <w:r w:rsidRPr="00BC29AC">
              <w:rPr>
                <w:rStyle w:val="Heading7Char"/>
              </w:rPr>
              <w:t xml:space="preserve">Table 1: </w:t>
            </w:r>
            <w:r w:rsidRPr="00244C91">
              <w:rPr>
                <w:color w:val="000000"/>
              </w:rPr>
              <w:t>Excluded studies and reasons for exclusion</w:t>
            </w:r>
          </w:p>
          <w:p w:rsidR="00BA6265" w:rsidRPr="00244C91" w:rsidRDefault="00BA6265" w:rsidP="006856D9">
            <w:pPr>
              <w:keepNext/>
              <w:jc w:val="center"/>
              <w:rPr>
                <w:b/>
                <w:color w:val="000000"/>
              </w:rPr>
            </w:pPr>
          </w:p>
        </w:tc>
      </w:tr>
      <w:tr w:rsidR="00BA6265" w:rsidRPr="00244C91" w:rsidTr="00B426AB">
        <w:trPr>
          <w:trHeight w:val="459"/>
          <w:tblHeader/>
        </w:trPr>
        <w:tc>
          <w:tcPr>
            <w:tcW w:w="0" w:type="auto"/>
            <w:vAlign w:val="center"/>
          </w:tcPr>
          <w:p w:rsidR="00BA6265" w:rsidRPr="00244C91" w:rsidRDefault="00BA6265" w:rsidP="006856D9">
            <w:pPr>
              <w:keepNext/>
              <w:jc w:val="center"/>
              <w:rPr>
                <w:b/>
                <w:color w:val="000000"/>
              </w:rPr>
            </w:pPr>
            <w:r w:rsidRPr="00244C91">
              <w:rPr>
                <w:b/>
                <w:color w:val="000000"/>
              </w:rPr>
              <w:t>Author/s</w:t>
            </w:r>
          </w:p>
        </w:tc>
        <w:tc>
          <w:tcPr>
            <w:tcW w:w="0" w:type="auto"/>
            <w:vAlign w:val="center"/>
          </w:tcPr>
          <w:p w:rsidR="00BA6265" w:rsidRPr="00244C91" w:rsidRDefault="00BA6265" w:rsidP="006856D9">
            <w:pPr>
              <w:keepNext/>
              <w:jc w:val="center"/>
              <w:rPr>
                <w:b/>
                <w:color w:val="000000"/>
              </w:rPr>
            </w:pPr>
            <w:r w:rsidRPr="00244C91">
              <w:rPr>
                <w:b/>
                <w:color w:val="000000"/>
              </w:rPr>
              <w:t>Pub Date</w:t>
            </w:r>
          </w:p>
        </w:tc>
        <w:tc>
          <w:tcPr>
            <w:tcW w:w="0" w:type="auto"/>
            <w:vAlign w:val="center"/>
          </w:tcPr>
          <w:p w:rsidR="00BA6265" w:rsidRPr="00244C91" w:rsidRDefault="00BA6265" w:rsidP="006856D9">
            <w:pPr>
              <w:keepNext/>
              <w:jc w:val="center"/>
              <w:rPr>
                <w:b/>
                <w:color w:val="000000"/>
              </w:rPr>
            </w:pPr>
            <w:r w:rsidRPr="00244C91">
              <w:rPr>
                <w:b/>
                <w:color w:val="000000"/>
              </w:rPr>
              <w:t>Title</w:t>
            </w:r>
          </w:p>
        </w:tc>
        <w:tc>
          <w:tcPr>
            <w:tcW w:w="0" w:type="auto"/>
            <w:vAlign w:val="center"/>
          </w:tcPr>
          <w:p w:rsidR="00BA6265" w:rsidRPr="00244C91" w:rsidRDefault="00BA6265" w:rsidP="006856D9">
            <w:pPr>
              <w:keepNext/>
              <w:jc w:val="center"/>
              <w:rPr>
                <w:b/>
                <w:color w:val="000000"/>
              </w:rPr>
            </w:pPr>
            <w:r w:rsidRPr="00244C91">
              <w:rPr>
                <w:b/>
                <w:color w:val="000000"/>
              </w:rPr>
              <w:t>Reference</w:t>
            </w:r>
          </w:p>
        </w:tc>
        <w:tc>
          <w:tcPr>
            <w:tcW w:w="0" w:type="auto"/>
            <w:vAlign w:val="center"/>
          </w:tcPr>
          <w:p w:rsidR="00BA6265" w:rsidRPr="00244C91" w:rsidRDefault="00BA6265" w:rsidP="006856D9">
            <w:pPr>
              <w:keepNext/>
              <w:jc w:val="center"/>
              <w:rPr>
                <w:b/>
                <w:color w:val="000000"/>
              </w:rPr>
            </w:pPr>
            <w:r w:rsidRPr="00244C91">
              <w:rPr>
                <w:b/>
                <w:color w:val="000000"/>
              </w:rPr>
              <w:t>Intervention</w:t>
            </w:r>
          </w:p>
        </w:tc>
        <w:tc>
          <w:tcPr>
            <w:tcW w:w="0" w:type="auto"/>
            <w:vAlign w:val="center"/>
          </w:tcPr>
          <w:p w:rsidR="00BA6265" w:rsidRPr="00244C91" w:rsidRDefault="00BA6265" w:rsidP="006856D9">
            <w:pPr>
              <w:keepNext/>
              <w:jc w:val="center"/>
              <w:rPr>
                <w:b/>
                <w:color w:val="000000"/>
              </w:rPr>
            </w:pPr>
            <w:r w:rsidRPr="00244C91">
              <w:rPr>
                <w:b/>
                <w:color w:val="000000"/>
              </w:rPr>
              <w:t>Reason for exclusion</w:t>
            </w:r>
          </w:p>
        </w:tc>
      </w:tr>
      <w:tr w:rsidR="00BA6265" w:rsidRPr="00244C91" w:rsidTr="00B426AB">
        <w:trPr>
          <w:trHeight w:val="1522"/>
        </w:trPr>
        <w:tc>
          <w:tcPr>
            <w:tcW w:w="0" w:type="auto"/>
            <w:vAlign w:val="center"/>
          </w:tcPr>
          <w:p w:rsidR="00BA6265" w:rsidRPr="00244C91" w:rsidRDefault="00BA6265" w:rsidP="006856D9">
            <w:pPr>
              <w:keepNext/>
              <w:spacing w:before="60" w:after="60"/>
              <w:rPr>
                <w:color w:val="000000"/>
                <w:lang w:val="it-IT"/>
              </w:rPr>
            </w:pPr>
            <w:r w:rsidRPr="00F17749">
              <w:rPr>
                <w:color w:val="000000"/>
                <w:lang w:val="it-IT"/>
              </w:rPr>
              <w:t xml:space="preserve">Ammassari A, Trotta MP, Shalev N, Tettoni MC, Maschi S, Di Sora F </w:t>
            </w:r>
            <w:r w:rsidRPr="00244C91">
              <w:rPr>
                <w:color w:val="000000"/>
                <w:lang w:val="it-IT"/>
              </w:rPr>
              <w:t xml:space="preserve">, </w:t>
            </w:r>
            <w:r w:rsidRPr="00244C91">
              <w:rPr>
                <w:i/>
                <w:color w:val="000000"/>
                <w:lang w:val="it-IT"/>
              </w:rPr>
              <w:t>et al.</w:t>
            </w:r>
          </w:p>
        </w:tc>
        <w:tc>
          <w:tcPr>
            <w:tcW w:w="0" w:type="auto"/>
            <w:vAlign w:val="center"/>
          </w:tcPr>
          <w:p w:rsidR="00BA6265" w:rsidRPr="00244C91" w:rsidRDefault="00BA6265" w:rsidP="006856D9">
            <w:pPr>
              <w:keepNext/>
              <w:spacing w:before="60" w:after="60"/>
              <w:jc w:val="right"/>
              <w:rPr>
                <w:color w:val="000000"/>
              </w:rPr>
            </w:pPr>
            <w:r w:rsidRPr="00244C91">
              <w:rPr>
                <w:color w:val="000000"/>
              </w:rPr>
              <w:t>2011</w:t>
            </w:r>
          </w:p>
        </w:tc>
        <w:tc>
          <w:tcPr>
            <w:tcW w:w="0" w:type="auto"/>
            <w:vAlign w:val="center"/>
          </w:tcPr>
          <w:p w:rsidR="00BA6265" w:rsidRPr="00244C91" w:rsidRDefault="00BA6265" w:rsidP="006856D9">
            <w:pPr>
              <w:keepNext/>
              <w:spacing w:before="60" w:after="60"/>
              <w:rPr>
                <w:color w:val="000000"/>
              </w:rPr>
            </w:pPr>
            <w:r w:rsidRPr="00244C91">
              <w:rPr>
                <w:color w:val="000000"/>
              </w:rPr>
              <w:t xml:space="preserve">Timed short messaging service improves adherence and virological </w:t>
            </w:r>
            <w:r w:rsidRPr="00244C91">
              <w:rPr>
                <w:color w:val="000000"/>
              </w:rPr>
              <w:br/>
              <w:t>outcomes in HIV-1-infected patients with suboptimal adherence to antiretroviral therapy</w:t>
            </w:r>
          </w:p>
        </w:tc>
        <w:tc>
          <w:tcPr>
            <w:tcW w:w="0" w:type="auto"/>
            <w:vAlign w:val="center"/>
          </w:tcPr>
          <w:p w:rsidR="00BA6265" w:rsidRPr="00244C91" w:rsidRDefault="00BA6265" w:rsidP="006856D9">
            <w:pPr>
              <w:keepNext/>
              <w:spacing w:before="60" w:after="60"/>
              <w:rPr>
                <w:color w:val="000000"/>
              </w:rPr>
            </w:pPr>
            <w:r w:rsidRPr="00244C91">
              <w:rPr>
                <w:color w:val="000000"/>
              </w:rPr>
              <w:t>Journal of Acquired Immune Deficiency Syndromes</w:t>
            </w:r>
            <w:r>
              <w:rPr>
                <w:color w:val="000000"/>
              </w:rPr>
              <w:t>,</w:t>
            </w:r>
            <w:r w:rsidRPr="00244C91">
              <w:rPr>
                <w:color w:val="000000"/>
              </w:rPr>
              <w:t xml:space="preserve"> 2011 58:4 (e113-e115)</w:t>
            </w:r>
          </w:p>
        </w:tc>
        <w:tc>
          <w:tcPr>
            <w:tcW w:w="0" w:type="auto"/>
            <w:vAlign w:val="center"/>
          </w:tcPr>
          <w:p w:rsidR="00BA6265" w:rsidRPr="00244C91" w:rsidRDefault="00BA6265" w:rsidP="006856D9">
            <w:pPr>
              <w:keepNext/>
              <w:spacing w:before="60" w:after="60"/>
              <w:rPr>
                <w:color w:val="000000"/>
              </w:rPr>
            </w:pPr>
            <w:r w:rsidRPr="00244C91">
              <w:rPr>
                <w:color w:val="000000"/>
              </w:rPr>
              <w:t>Automated time SMS reminders at the time of dosing. 9-month intervention period.</w:t>
            </w:r>
          </w:p>
        </w:tc>
        <w:tc>
          <w:tcPr>
            <w:tcW w:w="0" w:type="auto"/>
            <w:vAlign w:val="center"/>
          </w:tcPr>
          <w:p w:rsidR="00BA6265" w:rsidRPr="00244C91" w:rsidRDefault="00BA6265" w:rsidP="006856D9">
            <w:pPr>
              <w:keepNext/>
              <w:spacing w:before="60" w:after="60"/>
              <w:rPr>
                <w:color w:val="000000"/>
              </w:rPr>
            </w:pPr>
            <w:r w:rsidRPr="00244C91">
              <w:rPr>
                <w:color w:val="000000"/>
              </w:rPr>
              <w:t>Study design is 'single-arm open-labelled’. Inclusion offered to all patients reporting any degree of suboptimal adherence according to identified measures.  No control arm. Limited information - Letter to Editor.</w:t>
            </w:r>
          </w:p>
        </w:tc>
      </w:tr>
      <w:tr w:rsidR="00BA6265" w:rsidRPr="00244C91" w:rsidTr="00B426AB">
        <w:trPr>
          <w:trHeight w:val="583"/>
        </w:trPr>
        <w:tc>
          <w:tcPr>
            <w:tcW w:w="0" w:type="auto"/>
            <w:vAlign w:val="center"/>
          </w:tcPr>
          <w:p w:rsidR="00BA6265" w:rsidRPr="00244C91" w:rsidRDefault="00BA6265" w:rsidP="006856D9">
            <w:pPr>
              <w:keepNext/>
              <w:spacing w:before="60" w:after="60"/>
              <w:rPr>
                <w:lang w:val="nl-NL"/>
              </w:rPr>
            </w:pPr>
            <w:r w:rsidRPr="00244C91">
              <w:rPr>
                <w:lang w:val="nl-NL"/>
              </w:rPr>
              <w:t>Bos A, Hoogstraten J, Prahl-Andersen B.</w:t>
            </w:r>
          </w:p>
        </w:tc>
        <w:tc>
          <w:tcPr>
            <w:tcW w:w="0" w:type="auto"/>
            <w:vAlign w:val="center"/>
          </w:tcPr>
          <w:p w:rsidR="00BA6265" w:rsidRPr="00244C91" w:rsidRDefault="00BA6265" w:rsidP="006856D9">
            <w:pPr>
              <w:keepNext/>
              <w:spacing w:before="60" w:after="60"/>
              <w:jc w:val="right"/>
              <w:rPr>
                <w:color w:val="000000"/>
              </w:rPr>
            </w:pPr>
            <w:r w:rsidRPr="00244C91">
              <w:rPr>
                <w:color w:val="000000"/>
              </w:rPr>
              <w:t>2005</w:t>
            </w:r>
          </w:p>
        </w:tc>
        <w:tc>
          <w:tcPr>
            <w:tcW w:w="0" w:type="auto"/>
            <w:vAlign w:val="center"/>
          </w:tcPr>
          <w:p w:rsidR="00BA6265" w:rsidRPr="00244C91" w:rsidRDefault="00BA6265" w:rsidP="006856D9">
            <w:pPr>
              <w:keepNext/>
              <w:spacing w:before="60" w:after="60"/>
              <w:rPr>
                <w:color w:val="000000"/>
              </w:rPr>
            </w:pPr>
            <w:r w:rsidRPr="00244C91">
              <w:rPr>
                <w:color w:val="000000"/>
              </w:rPr>
              <w:t>Failed appointments in an orthodontic clinic.</w:t>
            </w:r>
          </w:p>
        </w:tc>
        <w:tc>
          <w:tcPr>
            <w:tcW w:w="0" w:type="auto"/>
            <w:vAlign w:val="center"/>
          </w:tcPr>
          <w:p w:rsidR="00BA6265" w:rsidRPr="00244C91" w:rsidRDefault="00BA6265" w:rsidP="006856D9">
            <w:pPr>
              <w:keepNext/>
              <w:spacing w:before="60" w:after="60"/>
              <w:rPr>
                <w:color w:val="000000"/>
              </w:rPr>
            </w:pPr>
            <w:r w:rsidRPr="00F17749">
              <w:rPr>
                <w:color w:val="000000"/>
              </w:rPr>
              <w:t xml:space="preserve">American Journal of Orthodontics and </w:t>
            </w:r>
            <w:proofErr w:type="spellStart"/>
            <w:r w:rsidRPr="00F17749">
              <w:rPr>
                <w:color w:val="000000"/>
              </w:rPr>
              <w:t>Dentofacial</w:t>
            </w:r>
            <w:proofErr w:type="spellEnd"/>
            <w:r w:rsidRPr="00F17749">
              <w:rPr>
                <w:color w:val="000000"/>
              </w:rPr>
              <w:t xml:space="preserve"> </w:t>
            </w:r>
            <w:proofErr w:type="spellStart"/>
            <w:r w:rsidRPr="00F17749">
              <w:rPr>
                <w:color w:val="000000"/>
              </w:rPr>
              <w:t>Orthopedics</w:t>
            </w:r>
            <w:proofErr w:type="spellEnd"/>
            <w:r>
              <w:rPr>
                <w:color w:val="000000"/>
              </w:rPr>
              <w:t>,</w:t>
            </w:r>
            <w:r w:rsidRPr="00244C91">
              <w:rPr>
                <w:color w:val="000000"/>
              </w:rPr>
              <w:t xml:space="preserve"> 2005 Mar;127(3):355-7.</w:t>
            </w:r>
          </w:p>
        </w:tc>
        <w:tc>
          <w:tcPr>
            <w:tcW w:w="0" w:type="auto"/>
            <w:vAlign w:val="center"/>
          </w:tcPr>
          <w:p w:rsidR="00BA6265" w:rsidRPr="00244C91" w:rsidRDefault="00BA6265" w:rsidP="006856D9">
            <w:pPr>
              <w:keepNext/>
              <w:spacing w:before="60" w:after="60"/>
              <w:rPr>
                <w:color w:val="000000"/>
              </w:rPr>
            </w:pPr>
            <w:r w:rsidRPr="00244C91">
              <w:rPr>
                <w:color w:val="000000"/>
              </w:rPr>
              <w:t>Intervention was a reminder for a single appointment. 4 study arms. i) Telephone, ii) mail, iii) SMS, iv) control. Reminder 1 day before the appointment.</w:t>
            </w:r>
          </w:p>
        </w:tc>
        <w:tc>
          <w:tcPr>
            <w:tcW w:w="0" w:type="auto"/>
            <w:vAlign w:val="center"/>
          </w:tcPr>
          <w:p w:rsidR="00BA6265" w:rsidRPr="00244C91" w:rsidRDefault="00BA6265" w:rsidP="006856D9">
            <w:pPr>
              <w:keepNext/>
              <w:spacing w:before="60" w:after="60"/>
              <w:rPr>
                <w:color w:val="000000"/>
              </w:rPr>
            </w:pPr>
            <w:r w:rsidRPr="00244C91">
              <w:rPr>
                <w:color w:val="000000"/>
              </w:rPr>
              <w:t>All booked patients over a 3-week period were 'divided' into 4 groups. For the 'follow-up" component of the study ' 30 "random subjects" from each group were interviewed. Intervention was a reminder for a single appointment.</w:t>
            </w:r>
          </w:p>
        </w:tc>
      </w:tr>
      <w:tr w:rsidR="00BA6265" w:rsidRPr="00244C91" w:rsidTr="00B426AB">
        <w:trPr>
          <w:trHeight w:val="350"/>
        </w:trPr>
        <w:tc>
          <w:tcPr>
            <w:tcW w:w="0" w:type="auto"/>
            <w:vAlign w:val="center"/>
          </w:tcPr>
          <w:p w:rsidR="00BA6265" w:rsidRPr="00244C91" w:rsidRDefault="00BA6265" w:rsidP="006856D9">
            <w:pPr>
              <w:keepNext/>
              <w:spacing w:before="60" w:after="60"/>
            </w:pPr>
            <w:r w:rsidRPr="00244C91">
              <w:t>Chen ZW, Fang LZ, Chen LY, Dai HL.</w:t>
            </w:r>
          </w:p>
        </w:tc>
        <w:tc>
          <w:tcPr>
            <w:tcW w:w="0" w:type="auto"/>
            <w:vAlign w:val="center"/>
          </w:tcPr>
          <w:p w:rsidR="00BA6265" w:rsidRPr="00244C91" w:rsidRDefault="00BA6265" w:rsidP="006856D9">
            <w:pPr>
              <w:keepNext/>
              <w:spacing w:before="60" w:after="60"/>
              <w:jc w:val="right"/>
              <w:rPr>
                <w:color w:val="000000"/>
              </w:rPr>
            </w:pPr>
            <w:r w:rsidRPr="00244C91">
              <w:rPr>
                <w:color w:val="000000"/>
              </w:rPr>
              <w:t>2008</w:t>
            </w:r>
          </w:p>
        </w:tc>
        <w:tc>
          <w:tcPr>
            <w:tcW w:w="0" w:type="auto"/>
            <w:vAlign w:val="center"/>
          </w:tcPr>
          <w:p w:rsidR="00BA6265" w:rsidRPr="00244C91" w:rsidRDefault="00BA6265" w:rsidP="006856D9">
            <w:pPr>
              <w:keepNext/>
              <w:spacing w:before="60" w:after="60"/>
              <w:rPr>
                <w:color w:val="000000"/>
              </w:rPr>
            </w:pPr>
            <w:r w:rsidRPr="00244C91">
              <w:rPr>
                <w:color w:val="000000"/>
              </w:rPr>
              <w:t xml:space="preserve">Comparison of an SMS text messaging and phone reminder to improve attendance at a health promotion </w:t>
            </w:r>
            <w:proofErr w:type="spellStart"/>
            <w:r w:rsidRPr="00244C91">
              <w:rPr>
                <w:color w:val="000000"/>
              </w:rPr>
              <w:t>center</w:t>
            </w:r>
            <w:proofErr w:type="spellEnd"/>
            <w:r w:rsidRPr="00244C91">
              <w:rPr>
                <w:color w:val="000000"/>
              </w:rPr>
              <w:t>: a randomized controlled trial.</w:t>
            </w:r>
          </w:p>
        </w:tc>
        <w:tc>
          <w:tcPr>
            <w:tcW w:w="0" w:type="auto"/>
            <w:vAlign w:val="center"/>
          </w:tcPr>
          <w:p w:rsidR="00BA6265" w:rsidRPr="00244C91" w:rsidRDefault="00BA6265" w:rsidP="006856D9">
            <w:pPr>
              <w:keepNext/>
              <w:spacing w:before="60" w:after="60"/>
              <w:rPr>
                <w:color w:val="000000"/>
              </w:rPr>
            </w:pPr>
            <w:r w:rsidRPr="00F17749">
              <w:rPr>
                <w:color w:val="000000"/>
              </w:rPr>
              <w:t>Journal of Zhejiang University SCIENCE B</w:t>
            </w:r>
            <w:r>
              <w:rPr>
                <w:color w:val="000000"/>
              </w:rPr>
              <w:t>,</w:t>
            </w:r>
            <w:r w:rsidRPr="00244C91">
              <w:rPr>
                <w:color w:val="000000"/>
              </w:rPr>
              <w:t xml:space="preserve"> 2008 Jan;9(1):34-8.</w:t>
            </w:r>
          </w:p>
        </w:tc>
        <w:tc>
          <w:tcPr>
            <w:tcW w:w="0" w:type="auto"/>
            <w:vAlign w:val="center"/>
          </w:tcPr>
          <w:p w:rsidR="00BA6265" w:rsidRPr="00244C91" w:rsidRDefault="00BA6265" w:rsidP="006856D9">
            <w:pPr>
              <w:keepNext/>
              <w:spacing w:before="60" w:after="60"/>
              <w:rPr>
                <w:color w:val="000000"/>
              </w:rPr>
            </w:pPr>
            <w:r w:rsidRPr="00244C91">
              <w:rPr>
                <w:color w:val="000000"/>
              </w:rPr>
              <w:t>Intervention was a reminder for a single appointment. Randomised to 3 groups: i) SMS reminder, ii) telephone contact, iii) control - no reminder. Reminder 72 h prior to the appointment.</w:t>
            </w:r>
          </w:p>
        </w:tc>
        <w:tc>
          <w:tcPr>
            <w:tcW w:w="0" w:type="auto"/>
            <w:vAlign w:val="center"/>
          </w:tcPr>
          <w:p w:rsidR="00BA6265" w:rsidRPr="00244C91" w:rsidRDefault="00BA6265" w:rsidP="006856D9">
            <w:pPr>
              <w:keepNext/>
              <w:spacing w:before="60" w:after="60"/>
              <w:rPr>
                <w:color w:val="000000"/>
              </w:rPr>
            </w:pPr>
            <w:r w:rsidRPr="00244C91">
              <w:rPr>
                <w:color w:val="000000"/>
              </w:rPr>
              <w:t>Study concerned improving attendance for periodic appointments for preventative health screening checks.</w:t>
            </w:r>
          </w:p>
        </w:tc>
      </w:tr>
      <w:tr w:rsidR="00BA6265" w:rsidRPr="00244C91" w:rsidTr="00B426AB">
        <w:trPr>
          <w:trHeight w:val="1548"/>
        </w:trPr>
        <w:tc>
          <w:tcPr>
            <w:tcW w:w="0" w:type="auto"/>
            <w:vAlign w:val="center"/>
          </w:tcPr>
          <w:p w:rsidR="00BA6265" w:rsidRPr="00244C91" w:rsidRDefault="00BA6265" w:rsidP="006856D9">
            <w:pPr>
              <w:keepNext/>
              <w:spacing w:before="60" w:after="60"/>
              <w:rPr>
                <w:color w:val="000000"/>
                <w:lang w:val="pt-BR"/>
              </w:rPr>
            </w:pPr>
            <w:r w:rsidRPr="00244C91">
              <w:rPr>
                <w:color w:val="000000"/>
                <w:lang w:val="pt-BR"/>
              </w:rPr>
              <w:lastRenderedPageBreak/>
              <w:t xml:space="preserve">da Costa TM, Salomao PL, Martha AS, Pisa IT, Sigulem D. </w:t>
            </w:r>
          </w:p>
        </w:tc>
        <w:tc>
          <w:tcPr>
            <w:tcW w:w="0" w:type="auto"/>
            <w:vAlign w:val="center"/>
          </w:tcPr>
          <w:p w:rsidR="00BA6265" w:rsidRPr="00244C91" w:rsidRDefault="00BA6265" w:rsidP="006856D9">
            <w:pPr>
              <w:keepNext/>
              <w:spacing w:before="60" w:after="60"/>
              <w:jc w:val="right"/>
              <w:rPr>
                <w:color w:val="000000"/>
              </w:rPr>
            </w:pPr>
            <w:r w:rsidRPr="00244C91">
              <w:rPr>
                <w:color w:val="000000"/>
              </w:rPr>
              <w:t>2010</w:t>
            </w:r>
          </w:p>
        </w:tc>
        <w:tc>
          <w:tcPr>
            <w:tcW w:w="0" w:type="auto"/>
            <w:vAlign w:val="center"/>
          </w:tcPr>
          <w:p w:rsidR="00BA6265" w:rsidRPr="00244C91" w:rsidRDefault="00BA6265" w:rsidP="006856D9">
            <w:pPr>
              <w:keepNext/>
              <w:spacing w:before="60" w:after="60"/>
              <w:rPr>
                <w:color w:val="000000"/>
              </w:rPr>
            </w:pPr>
            <w:r w:rsidRPr="00244C91">
              <w:rPr>
                <w:color w:val="000000"/>
              </w:rPr>
              <w:t>The impact of short message service text messages sent as appointment reminders to patients' cell phones at outpatient clinics in Sao Paulo, Brazil</w:t>
            </w:r>
          </w:p>
        </w:tc>
        <w:tc>
          <w:tcPr>
            <w:tcW w:w="0" w:type="auto"/>
            <w:vAlign w:val="center"/>
          </w:tcPr>
          <w:p w:rsidR="00BA6265" w:rsidRPr="00244C91" w:rsidRDefault="00BA6265" w:rsidP="006856D9">
            <w:pPr>
              <w:keepNext/>
              <w:spacing w:before="60" w:after="60"/>
              <w:rPr>
                <w:color w:val="000000"/>
              </w:rPr>
            </w:pPr>
            <w:r w:rsidRPr="00244C91">
              <w:rPr>
                <w:color w:val="000000"/>
              </w:rPr>
              <w:t>International Journal of Medical Informatics, 2010 Jan; 79 (1): 65-70</w:t>
            </w:r>
          </w:p>
        </w:tc>
        <w:tc>
          <w:tcPr>
            <w:tcW w:w="0" w:type="auto"/>
            <w:vAlign w:val="center"/>
          </w:tcPr>
          <w:p w:rsidR="00BA6265" w:rsidRPr="00244C91" w:rsidRDefault="00BA6265" w:rsidP="006856D9">
            <w:pPr>
              <w:keepNext/>
              <w:spacing w:before="60" w:after="60"/>
              <w:rPr>
                <w:color w:val="000000"/>
              </w:rPr>
            </w:pPr>
            <w:r w:rsidRPr="00244C91">
              <w:rPr>
                <w:color w:val="000000"/>
              </w:rPr>
              <w:t>SMS text message sent 24 h before appointment to all patients. 11 month study.</w:t>
            </w:r>
          </w:p>
        </w:tc>
        <w:tc>
          <w:tcPr>
            <w:tcW w:w="0" w:type="auto"/>
            <w:vAlign w:val="center"/>
          </w:tcPr>
          <w:p w:rsidR="00BA6265" w:rsidRPr="00244C91" w:rsidRDefault="00BA6265" w:rsidP="006856D9">
            <w:pPr>
              <w:keepNext/>
              <w:spacing w:before="60" w:after="60"/>
              <w:rPr>
                <w:color w:val="000000"/>
              </w:rPr>
            </w:pPr>
            <w:r w:rsidRPr="00244C91">
              <w:rPr>
                <w:color w:val="000000"/>
              </w:rPr>
              <w:t>Not RCT. Intervention was a reminder for a single appointment.</w:t>
            </w:r>
          </w:p>
        </w:tc>
      </w:tr>
      <w:tr w:rsidR="00BA6265" w:rsidRPr="00244C91" w:rsidTr="00B426AB">
        <w:trPr>
          <w:trHeight w:val="1553"/>
        </w:trPr>
        <w:tc>
          <w:tcPr>
            <w:tcW w:w="0" w:type="auto"/>
            <w:vAlign w:val="center"/>
          </w:tcPr>
          <w:p w:rsidR="00BA6265" w:rsidRPr="00244C91" w:rsidRDefault="00BA6265" w:rsidP="006856D9">
            <w:pPr>
              <w:keepNext/>
              <w:spacing w:before="60" w:after="60"/>
            </w:pPr>
            <w:proofErr w:type="spellStart"/>
            <w:r w:rsidRPr="00244C91">
              <w:t>Fairhurst</w:t>
            </w:r>
            <w:proofErr w:type="spellEnd"/>
            <w:r w:rsidRPr="00244C91">
              <w:t xml:space="preserve"> K, Sheikh A.</w:t>
            </w:r>
          </w:p>
        </w:tc>
        <w:tc>
          <w:tcPr>
            <w:tcW w:w="0" w:type="auto"/>
            <w:vAlign w:val="center"/>
          </w:tcPr>
          <w:p w:rsidR="00BA6265" w:rsidRPr="00244C91" w:rsidRDefault="00BA6265" w:rsidP="006856D9">
            <w:pPr>
              <w:keepNext/>
              <w:spacing w:before="60" w:after="60"/>
              <w:jc w:val="right"/>
              <w:rPr>
                <w:color w:val="000000"/>
              </w:rPr>
            </w:pPr>
            <w:r w:rsidRPr="00244C91">
              <w:rPr>
                <w:color w:val="000000"/>
              </w:rPr>
              <w:t>2008</w:t>
            </w:r>
          </w:p>
        </w:tc>
        <w:tc>
          <w:tcPr>
            <w:tcW w:w="0" w:type="auto"/>
            <w:vAlign w:val="center"/>
          </w:tcPr>
          <w:p w:rsidR="00BA6265" w:rsidRPr="00244C91" w:rsidRDefault="00BA6265" w:rsidP="006856D9">
            <w:pPr>
              <w:keepNext/>
              <w:spacing w:before="60" w:after="60"/>
              <w:rPr>
                <w:color w:val="000000"/>
              </w:rPr>
            </w:pPr>
            <w:r w:rsidRPr="00244C91">
              <w:rPr>
                <w:color w:val="000000"/>
              </w:rPr>
              <w:t>Texting appointment reminders to repeated non-attenders in primary care: randomised controlled study.</w:t>
            </w:r>
          </w:p>
        </w:tc>
        <w:tc>
          <w:tcPr>
            <w:tcW w:w="0" w:type="auto"/>
            <w:vAlign w:val="center"/>
          </w:tcPr>
          <w:p w:rsidR="00BA6265" w:rsidRPr="00244C91" w:rsidRDefault="00BA6265" w:rsidP="006856D9">
            <w:pPr>
              <w:keepNext/>
              <w:spacing w:before="60" w:after="60"/>
              <w:rPr>
                <w:color w:val="000000"/>
              </w:rPr>
            </w:pPr>
            <w:r w:rsidRPr="00F17749">
              <w:rPr>
                <w:color w:val="000000"/>
              </w:rPr>
              <w:t>Q</w:t>
            </w:r>
            <w:r>
              <w:rPr>
                <w:color w:val="000000"/>
              </w:rPr>
              <w:t>uality &amp; Safety in Health Care",</w:t>
            </w:r>
            <w:r w:rsidRPr="00244C91">
              <w:rPr>
                <w:color w:val="000000"/>
              </w:rPr>
              <w:t xml:space="preserve"> 2008 Oct;17(5):373-6.</w:t>
            </w:r>
          </w:p>
        </w:tc>
        <w:tc>
          <w:tcPr>
            <w:tcW w:w="0" w:type="auto"/>
            <w:vAlign w:val="center"/>
          </w:tcPr>
          <w:p w:rsidR="00BA6265" w:rsidRPr="00244C91" w:rsidRDefault="00BA6265" w:rsidP="006856D9">
            <w:pPr>
              <w:keepNext/>
              <w:spacing w:before="60" w:after="60"/>
              <w:rPr>
                <w:color w:val="000000"/>
              </w:rPr>
            </w:pPr>
            <w:r w:rsidRPr="00244C91">
              <w:rPr>
                <w:color w:val="000000"/>
              </w:rPr>
              <w:t>Randomised to two groups: i) SMS text message sent, ii) Control (no reminder)). A text message reminder of the appointment sent between 0800-0900 on the morning preceding afternoon appointments and between 1600-1700 on the afternoon preceding morning appointments. Reminders for Monday morning sent on Friday afternoon.</w:t>
            </w:r>
          </w:p>
        </w:tc>
        <w:tc>
          <w:tcPr>
            <w:tcW w:w="0" w:type="auto"/>
            <w:vAlign w:val="center"/>
          </w:tcPr>
          <w:p w:rsidR="00BA6265" w:rsidRPr="00244C91" w:rsidRDefault="00BA6265" w:rsidP="006856D9">
            <w:pPr>
              <w:keepNext/>
              <w:spacing w:before="60" w:after="60"/>
              <w:rPr>
                <w:color w:val="000000"/>
              </w:rPr>
            </w:pPr>
            <w:r w:rsidRPr="00244C91">
              <w:rPr>
                <w:color w:val="000000"/>
              </w:rPr>
              <w:t xml:space="preserve">Attendance for single appointment only. Participants were patients who failed to attend two or more routine appointments in the preceding year. All appointments made by these patients over a six month period were included in the study. Patients with no mobile phone or were unable to provide a mobile telephone numbers were subsequently excluded. </w:t>
            </w:r>
          </w:p>
        </w:tc>
      </w:tr>
      <w:tr w:rsidR="00BA6265" w:rsidRPr="00244C91" w:rsidTr="00B426AB">
        <w:trPr>
          <w:trHeight w:val="110"/>
        </w:trPr>
        <w:tc>
          <w:tcPr>
            <w:tcW w:w="0" w:type="auto"/>
            <w:vAlign w:val="center"/>
          </w:tcPr>
          <w:p w:rsidR="00BA6265" w:rsidRPr="00244C91" w:rsidRDefault="00BA6265" w:rsidP="006856D9">
            <w:pPr>
              <w:keepNext/>
              <w:spacing w:before="60" w:after="60"/>
            </w:pPr>
            <w:r w:rsidRPr="00F17749">
              <w:t xml:space="preserve">Fischer HH, Moore SL, </w:t>
            </w:r>
            <w:proofErr w:type="spellStart"/>
            <w:r w:rsidRPr="00F17749">
              <w:t>Ginosar</w:t>
            </w:r>
            <w:proofErr w:type="spellEnd"/>
            <w:r w:rsidRPr="00F17749">
              <w:t xml:space="preserve"> D, Davidson AJ, Rice-Peterson CM, </w:t>
            </w:r>
            <w:proofErr w:type="spellStart"/>
            <w:r w:rsidRPr="00F17749">
              <w:t>Durfee</w:t>
            </w:r>
            <w:proofErr w:type="spellEnd"/>
            <w:r w:rsidRPr="00F17749">
              <w:t xml:space="preserve"> MJ, </w:t>
            </w:r>
            <w:proofErr w:type="spellStart"/>
            <w:r w:rsidRPr="00F17749">
              <w:t>MacKenzie</w:t>
            </w:r>
            <w:proofErr w:type="spellEnd"/>
            <w:r w:rsidRPr="00F17749">
              <w:t xml:space="preserve"> TD, </w:t>
            </w:r>
            <w:proofErr w:type="spellStart"/>
            <w:r w:rsidRPr="00F17749">
              <w:t>Estacio</w:t>
            </w:r>
            <w:proofErr w:type="spellEnd"/>
            <w:r w:rsidRPr="00F17749">
              <w:t xml:space="preserve"> RO, Steele AW.</w:t>
            </w:r>
          </w:p>
        </w:tc>
        <w:tc>
          <w:tcPr>
            <w:tcW w:w="0" w:type="auto"/>
            <w:vAlign w:val="center"/>
          </w:tcPr>
          <w:p w:rsidR="00BA6265" w:rsidRPr="00244C91" w:rsidRDefault="00BA6265" w:rsidP="006856D9">
            <w:pPr>
              <w:keepNext/>
              <w:spacing w:before="60" w:after="60"/>
              <w:jc w:val="right"/>
              <w:rPr>
                <w:color w:val="000000"/>
              </w:rPr>
            </w:pPr>
            <w:r w:rsidRPr="00244C91">
              <w:rPr>
                <w:color w:val="000000"/>
              </w:rPr>
              <w:t>2012</w:t>
            </w:r>
          </w:p>
        </w:tc>
        <w:tc>
          <w:tcPr>
            <w:tcW w:w="0" w:type="auto"/>
            <w:vAlign w:val="center"/>
          </w:tcPr>
          <w:p w:rsidR="00BA6265" w:rsidRPr="00244C91" w:rsidRDefault="00BA6265" w:rsidP="006856D9">
            <w:pPr>
              <w:keepNext/>
              <w:spacing w:before="60" w:after="60"/>
              <w:rPr>
                <w:color w:val="000000"/>
              </w:rPr>
            </w:pPr>
            <w:r w:rsidRPr="00244C91">
              <w:rPr>
                <w:color w:val="000000"/>
              </w:rPr>
              <w:t>Care by Cell Phone: Text Messaging for Chronic Disease Management</w:t>
            </w:r>
          </w:p>
        </w:tc>
        <w:tc>
          <w:tcPr>
            <w:tcW w:w="0" w:type="auto"/>
            <w:vAlign w:val="center"/>
          </w:tcPr>
          <w:p w:rsidR="00BA6265" w:rsidRPr="00244C91" w:rsidRDefault="00BA6265" w:rsidP="006856D9">
            <w:pPr>
              <w:keepNext/>
              <w:spacing w:before="60" w:after="60"/>
              <w:rPr>
                <w:color w:val="000000"/>
              </w:rPr>
            </w:pPr>
            <w:r w:rsidRPr="00F17749">
              <w:rPr>
                <w:color w:val="000000"/>
              </w:rPr>
              <w:t>Americ</w:t>
            </w:r>
            <w:r>
              <w:rPr>
                <w:color w:val="000000"/>
              </w:rPr>
              <w:t>an Journal of Managed Care</w:t>
            </w:r>
            <w:r w:rsidRPr="00244C91">
              <w:rPr>
                <w:color w:val="000000"/>
              </w:rPr>
              <w:t>, 2012 Feb; 18 (2): e42-7</w:t>
            </w:r>
          </w:p>
        </w:tc>
        <w:tc>
          <w:tcPr>
            <w:tcW w:w="0" w:type="auto"/>
            <w:vAlign w:val="center"/>
          </w:tcPr>
          <w:p w:rsidR="00BA6265" w:rsidRPr="00244C91" w:rsidRDefault="00BA6265" w:rsidP="006856D9">
            <w:pPr>
              <w:keepNext/>
              <w:spacing w:before="60" w:after="60"/>
              <w:rPr>
                <w:color w:val="000000"/>
              </w:rPr>
            </w:pPr>
            <w:r w:rsidRPr="00244C91">
              <w:rPr>
                <w:color w:val="000000"/>
              </w:rPr>
              <w:t xml:space="preserve">Participants received text message prompts in their choice of English or Spanish over a 3-month period. Messages requesting fasting BSL readings were sent to each patient at 7.15am 3 times a week. Appointment reminder sent 1-day before appointment. </w:t>
            </w:r>
          </w:p>
        </w:tc>
        <w:tc>
          <w:tcPr>
            <w:tcW w:w="0" w:type="auto"/>
            <w:vAlign w:val="center"/>
          </w:tcPr>
          <w:p w:rsidR="00BA6265" w:rsidRPr="00244C91" w:rsidRDefault="00BA6265" w:rsidP="006856D9">
            <w:pPr>
              <w:keepNext/>
              <w:spacing w:before="60" w:after="60"/>
              <w:rPr>
                <w:color w:val="000000"/>
              </w:rPr>
            </w:pPr>
            <w:r w:rsidRPr="00244C91">
              <w:rPr>
                <w:color w:val="000000"/>
              </w:rPr>
              <w:t xml:space="preserve">Patient response to SMS message required. Intervention a text communication system to improve </w:t>
            </w:r>
            <w:proofErr w:type="spellStart"/>
            <w:r w:rsidRPr="00244C91">
              <w:rPr>
                <w:color w:val="000000"/>
              </w:rPr>
              <w:t>self management</w:t>
            </w:r>
            <w:proofErr w:type="spellEnd"/>
            <w:r w:rsidRPr="00244C91">
              <w:rPr>
                <w:color w:val="000000"/>
              </w:rPr>
              <w:t xml:space="preserve"> of diabetes. A feasibility study - not sufficiently powered.</w:t>
            </w:r>
          </w:p>
        </w:tc>
      </w:tr>
      <w:tr w:rsidR="00BA6265" w:rsidRPr="00244C91" w:rsidTr="00B426AB">
        <w:trPr>
          <w:trHeight w:val="70"/>
        </w:trPr>
        <w:tc>
          <w:tcPr>
            <w:tcW w:w="0" w:type="auto"/>
            <w:vAlign w:val="center"/>
          </w:tcPr>
          <w:p w:rsidR="00BA6265" w:rsidRPr="00244C91" w:rsidRDefault="00BA6265" w:rsidP="006856D9">
            <w:pPr>
              <w:keepNext/>
              <w:spacing w:before="60" w:after="60"/>
              <w:rPr>
                <w:color w:val="000000"/>
                <w:lang w:val="it-IT"/>
              </w:rPr>
            </w:pPr>
            <w:r w:rsidRPr="00244C91">
              <w:rPr>
                <w:color w:val="000000"/>
                <w:lang w:val="it-IT"/>
              </w:rPr>
              <w:t>Franklin VL, Waller A, Pagliari C, Greene SA.</w:t>
            </w:r>
          </w:p>
        </w:tc>
        <w:tc>
          <w:tcPr>
            <w:tcW w:w="0" w:type="auto"/>
            <w:vAlign w:val="center"/>
          </w:tcPr>
          <w:p w:rsidR="00BA6265" w:rsidRPr="00244C91" w:rsidRDefault="00BA6265" w:rsidP="006856D9">
            <w:pPr>
              <w:keepNext/>
              <w:spacing w:before="60" w:after="60"/>
              <w:jc w:val="right"/>
              <w:rPr>
                <w:color w:val="000000"/>
              </w:rPr>
            </w:pPr>
            <w:r w:rsidRPr="00244C91">
              <w:rPr>
                <w:color w:val="000000"/>
              </w:rPr>
              <w:t>2006</w:t>
            </w:r>
          </w:p>
        </w:tc>
        <w:tc>
          <w:tcPr>
            <w:tcW w:w="0" w:type="auto"/>
            <w:vAlign w:val="center"/>
          </w:tcPr>
          <w:p w:rsidR="00BA6265" w:rsidRPr="00244C91" w:rsidRDefault="00BA6265" w:rsidP="006856D9">
            <w:pPr>
              <w:keepNext/>
              <w:spacing w:before="60" w:after="60"/>
              <w:rPr>
                <w:color w:val="000000"/>
              </w:rPr>
            </w:pPr>
            <w:r w:rsidRPr="00244C91">
              <w:rPr>
                <w:color w:val="000000"/>
              </w:rPr>
              <w:t>A randomized controlled trial of Sweet Talk, a text-</w:t>
            </w:r>
            <w:r w:rsidRPr="00244C91">
              <w:rPr>
                <w:color w:val="000000"/>
              </w:rPr>
              <w:lastRenderedPageBreak/>
              <w:t>messaging system to support young people with diabetes.</w:t>
            </w:r>
          </w:p>
        </w:tc>
        <w:tc>
          <w:tcPr>
            <w:tcW w:w="0" w:type="auto"/>
            <w:vAlign w:val="center"/>
          </w:tcPr>
          <w:p w:rsidR="00BA6265" w:rsidRPr="00244C91" w:rsidRDefault="00BA6265" w:rsidP="006856D9">
            <w:pPr>
              <w:keepNext/>
              <w:spacing w:before="60" w:after="60"/>
              <w:rPr>
                <w:color w:val="000000"/>
              </w:rPr>
            </w:pPr>
            <w:r w:rsidRPr="00F17749">
              <w:rPr>
                <w:color w:val="000000"/>
              </w:rPr>
              <w:lastRenderedPageBreak/>
              <w:t>Diabetic Medicine</w:t>
            </w:r>
            <w:r>
              <w:rPr>
                <w:color w:val="000000"/>
              </w:rPr>
              <w:t xml:space="preserve">, </w:t>
            </w:r>
            <w:r w:rsidRPr="00244C91">
              <w:rPr>
                <w:color w:val="000000"/>
              </w:rPr>
              <w:t>2006 Dec;23(12):1332-8.</w:t>
            </w:r>
          </w:p>
        </w:tc>
        <w:tc>
          <w:tcPr>
            <w:tcW w:w="0" w:type="auto"/>
            <w:vAlign w:val="center"/>
          </w:tcPr>
          <w:p w:rsidR="00BA6265" w:rsidRPr="00244C91" w:rsidRDefault="00BA6265" w:rsidP="006856D9">
            <w:pPr>
              <w:keepNext/>
              <w:spacing w:before="60" w:after="60"/>
              <w:rPr>
                <w:color w:val="000000"/>
              </w:rPr>
            </w:pPr>
            <w:r w:rsidRPr="00244C91">
              <w:rPr>
                <w:color w:val="000000"/>
              </w:rPr>
              <w:t xml:space="preserve">Randomised to i) conventional insulin therapy, ii) conventional therapy and </w:t>
            </w:r>
            <w:r w:rsidRPr="00244C91">
              <w:rPr>
                <w:color w:val="000000"/>
              </w:rPr>
              <w:lastRenderedPageBreak/>
              <w:t>Sweet Talk, or iii) intensive insulin therapy and Sweet Talk. Goal setting at clinic visits was reinforced by daily text-messages from the Sweet Talk software system, containing personalized goal-specific prompts and messages tailored to patients' age, sex and insulin regimen. Participants to respond to texts by sends BSLs and Insulin dose.</w:t>
            </w:r>
          </w:p>
        </w:tc>
        <w:tc>
          <w:tcPr>
            <w:tcW w:w="0" w:type="auto"/>
            <w:vAlign w:val="center"/>
          </w:tcPr>
          <w:p w:rsidR="00BA6265" w:rsidRPr="00244C91" w:rsidRDefault="00BA6265" w:rsidP="006856D9">
            <w:pPr>
              <w:keepNext/>
              <w:spacing w:before="60" w:after="60"/>
              <w:rPr>
                <w:color w:val="000000"/>
              </w:rPr>
            </w:pPr>
            <w:r w:rsidRPr="00244C91">
              <w:rPr>
                <w:color w:val="000000"/>
              </w:rPr>
              <w:lastRenderedPageBreak/>
              <w:t xml:space="preserve">Patient response to SMS message required. Intervention offered a means of contact and </w:t>
            </w:r>
            <w:r w:rsidRPr="00244C91">
              <w:rPr>
                <w:color w:val="000000"/>
              </w:rPr>
              <w:lastRenderedPageBreak/>
              <w:t>support between clinic visits.</w:t>
            </w:r>
          </w:p>
        </w:tc>
      </w:tr>
      <w:tr w:rsidR="00BA6265" w:rsidRPr="00244C91" w:rsidTr="00B426AB">
        <w:trPr>
          <w:trHeight w:val="675"/>
        </w:trPr>
        <w:tc>
          <w:tcPr>
            <w:tcW w:w="0" w:type="auto"/>
            <w:vAlign w:val="center"/>
          </w:tcPr>
          <w:p w:rsidR="00BA6265" w:rsidRPr="00244C91" w:rsidRDefault="00BA6265" w:rsidP="006856D9">
            <w:pPr>
              <w:keepNext/>
              <w:spacing w:before="60" w:after="60"/>
              <w:rPr>
                <w:color w:val="000000"/>
              </w:rPr>
            </w:pPr>
            <w:proofErr w:type="spellStart"/>
            <w:r w:rsidRPr="00244C91">
              <w:rPr>
                <w:color w:val="000000"/>
              </w:rPr>
              <w:lastRenderedPageBreak/>
              <w:t>Grodzicki</w:t>
            </w:r>
            <w:proofErr w:type="spellEnd"/>
            <w:r w:rsidRPr="00244C91">
              <w:rPr>
                <w:color w:val="000000"/>
              </w:rPr>
              <w:t xml:space="preserve"> T, </w:t>
            </w:r>
            <w:proofErr w:type="spellStart"/>
            <w:r w:rsidRPr="00244C91">
              <w:rPr>
                <w:color w:val="000000"/>
              </w:rPr>
              <w:t>Wizner</w:t>
            </w:r>
            <w:proofErr w:type="spellEnd"/>
            <w:r w:rsidRPr="00244C91">
              <w:rPr>
                <w:color w:val="000000"/>
              </w:rPr>
              <w:t xml:space="preserve"> B, </w:t>
            </w:r>
            <w:proofErr w:type="spellStart"/>
            <w:r w:rsidRPr="00244C91">
              <w:rPr>
                <w:color w:val="000000"/>
              </w:rPr>
              <w:t>Gaciong</w:t>
            </w:r>
            <w:proofErr w:type="spellEnd"/>
            <w:r w:rsidRPr="00244C91">
              <w:rPr>
                <w:color w:val="000000"/>
              </w:rPr>
              <w:t xml:space="preserve"> Z, </w:t>
            </w:r>
            <w:proofErr w:type="spellStart"/>
            <w:r w:rsidRPr="00244C91">
              <w:rPr>
                <w:color w:val="000000"/>
              </w:rPr>
              <w:t>Narkiewicz</w:t>
            </w:r>
            <w:proofErr w:type="spellEnd"/>
            <w:r w:rsidRPr="00244C91">
              <w:rPr>
                <w:color w:val="000000"/>
              </w:rPr>
              <w:t xml:space="preserve"> K. </w:t>
            </w:r>
          </w:p>
        </w:tc>
        <w:tc>
          <w:tcPr>
            <w:tcW w:w="0" w:type="auto"/>
            <w:vAlign w:val="center"/>
          </w:tcPr>
          <w:p w:rsidR="00BA6265" w:rsidRPr="00244C91" w:rsidRDefault="00BA6265" w:rsidP="006856D9">
            <w:pPr>
              <w:keepNext/>
              <w:spacing w:before="60" w:after="60"/>
              <w:jc w:val="right"/>
              <w:rPr>
                <w:color w:val="000000"/>
              </w:rPr>
            </w:pPr>
            <w:r w:rsidRPr="00244C91">
              <w:rPr>
                <w:color w:val="000000"/>
              </w:rPr>
              <w:t>2009</w:t>
            </w:r>
          </w:p>
        </w:tc>
        <w:tc>
          <w:tcPr>
            <w:tcW w:w="0" w:type="auto"/>
            <w:vAlign w:val="center"/>
          </w:tcPr>
          <w:p w:rsidR="00BA6265" w:rsidRPr="00244C91" w:rsidRDefault="00BA6265" w:rsidP="006856D9">
            <w:pPr>
              <w:keepNext/>
              <w:spacing w:before="60" w:after="60"/>
              <w:rPr>
                <w:color w:val="000000"/>
              </w:rPr>
            </w:pPr>
            <w:r w:rsidRPr="00244C91">
              <w:rPr>
                <w:color w:val="000000"/>
              </w:rPr>
              <w:t xml:space="preserve">Education using SMS increases efficacy of treatment of hypertensive </w:t>
            </w:r>
            <w:r w:rsidRPr="00244C91">
              <w:rPr>
                <w:color w:val="000000"/>
              </w:rPr>
              <w:br/>
              <w:t>patients</w:t>
            </w:r>
          </w:p>
        </w:tc>
        <w:tc>
          <w:tcPr>
            <w:tcW w:w="0" w:type="auto"/>
            <w:vAlign w:val="center"/>
          </w:tcPr>
          <w:p w:rsidR="00BA6265" w:rsidRPr="00244C91" w:rsidRDefault="00BA6265" w:rsidP="006856D9">
            <w:pPr>
              <w:keepNext/>
              <w:spacing w:before="60" w:after="60"/>
              <w:rPr>
                <w:color w:val="000000"/>
              </w:rPr>
            </w:pPr>
            <w:proofErr w:type="spellStart"/>
            <w:r w:rsidRPr="00244C91">
              <w:rPr>
                <w:color w:val="000000"/>
              </w:rPr>
              <w:t>Nadcisnienie</w:t>
            </w:r>
            <w:proofErr w:type="spellEnd"/>
            <w:r w:rsidRPr="00244C91">
              <w:rPr>
                <w:color w:val="000000"/>
              </w:rPr>
              <w:t xml:space="preserve"> </w:t>
            </w:r>
            <w:proofErr w:type="spellStart"/>
            <w:r w:rsidRPr="00244C91">
              <w:rPr>
                <w:color w:val="000000"/>
              </w:rPr>
              <w:t>Tetnicze</w:t>
            </w:r>
            <w:proofErr w:type="spellEnd"/>
            <w:r>
              <w:rPr>
                <w:color w:val="000000"/>
              </w:rPr>
              <w:t>,</w:t>
            </w:r>
            <w:r w:rsidRPr="00244C91">
              <w:rPr>
                <w:color w:val="000000"/>
              </w:rPr>
              <w:t xml:space="preserve"> 2009 13:3 (147-157) </w:t>
            </w:r>
          </w:p>
        </w:tc>
        <w:tc>
          <w:tcPr>
            <w:tcW w:w="0" w:type="auto"/>
            <w:vAlign w:val="center"/>
          </w:tcPr>
          <w:p w:rsidR="00BA6265" w:rsidRPr="00244C91" w:rsidRDefault="00BA6265" w:rsidP="006856D9">
            <w:pPr>
              <w:keepNext/>
              <w:spacing w:before="60" w:after="60"/>
              <w:rPr>
                <w:color w:val="000000"/>
              </w:rPr>
            </w:pPr>
            <w:r w:rsidRPr="00244C91">
              <w:rPr>
                <w:color w:val="000000"/>
              </w:rPr>
              <w:t>Randomised into 2 groups differing frequency of text messages sent (once or twice weekly) Each SMS contained 2 modules, i) a reminder about medication; ii)information about life style modification. 6 month study.</w:t>
            </w:r>
          </w:p>
        </w:tc>
        <w:tc>
          <w:tcPr>
            <w:tcW w:w="0" w:type="auto"/>
            <w:vAlign w:val="center"/>
          </w:tcPr>
          <w:p w:rsidR="00BA6265" w:rsidRPr="00244C91" w:rsidRDefault="00BA6265" w:rsidP="006856D9">
            <w:pPr>
              <w:keepNext/>
              <w:spacing w:before="60" w:after="60"/>
              <w:rPr>
                <w:color w:val="000000"/>
              </w:rPr>
            </w:pPr>
            <w:r w:rsidRPr="00244C91">
              <w:rPr>
                <w:color w:val="000000"/>
              </w:rPr>
              <w:t xml:space="preserve">A translated abstract available only. No control group. </w:t>
            </w:r>
          </w:p>
        </w:tc>
      </w:tr>
      <w:tr w:rsidR="00BA6265" w:rsidRPr="00244C91" w:rsidTr="00B426AB">
        <w:trPr>
          <w:trHeight w:val="277"/>
        </w:trPr>
        <w:tc>
          <w:tcPr>
            <w:tcW w:w="0" w:type="auto"/>
            <w:vAlign w:val="center"/>
          </w:tcPr>
          <w:p w:rsidR="00BA6265" w:rsidRPr="00244C91" w:rsidRDefault="00BA6265" w:rsidP="006856D9">
            <w:pPr>
              <w:keepNext/>
              <w:spacing w:before="60" w:after="60"/>
              <w:rPr>
                <w:color w:val="000000"/>
              </w:rPr>
            </w:pPr>
            <w:r w:rsidRPr="00F17749">
              <w:rPr>
                <w:color w:val="000000"/>
              </w:rPr>
              <w:t xml:space="preserve">Guy R, Hocking J, Wand H, Stott S, Ali H, </w:t>
            </w:r>
            <w:proofErr w:type="spellStart"/>
            <w:r w:rsidRPr="00F17749">
              <w:rPr>
                <w:color w:val="000000"/>
              </w:rPr>
              <w:t>Kaldor</w:t>
            </w:r>
            <w:proofErr w:type="spellEnd"/>
            <w:r w:rsidRPr="00F17749">
              <w:rPr>
                <w:color w:val="000000"/>
              </w:rPr>
              <w:t xml:space="preserve"> J.</w:t>
            </w:r>
          </w:p>
        </w:tc>
        <w:tc>
          <w:tcPr>
            <w:tcW w:w="0" w:type="auto"/>
            <w:vAlign w:val="center"/>
          </w:tcPr>
          <w:p w:rsidR="00BA6265" w:rsidRPr="00244C91" w:rsidRDefault="00BA6265" w:rsidP="006856D9">
            <w:pPr>
              <w:keepNext/>
              <w:spacing w:before="60" w:after="60"/>
              <w:jc w:val="right"/>
              <w:rPr>
                <w:color w:val="000000"/>
              </w:rPr>
            </w:pPr>
            <w:r w:rsidRPr="00244C91">
              <w:rPr>
                <w:color w:val="000000"/>
              </w:rPr>
              <w:t>2012</w:t>
            </w:r>
          </w:p>
        </w:tc>
        <w:tc>
          <w:tcPr>
            <w:tcW w:w="0" w:type="auto"/>
            <w:vAlign w:val="center"/>
          </w:tcPr>
          <w:p w:rsidR="00BA6265" w:rsidRPr="00244C91" w:rsidRDefault="00BA6265" w:rsidP="006856D9">
            <w:pPr>
              <w:keepNext/>
              <w:spacing w:before="60" w:after="60"/>
              <w:rPr>
                <w:color w:val="000000"/>
              </w:rPr>
            </w:pPr>
            <w:r w:rsidRPr="00244C91">
              <w:rPr>
                <w:color w:val="000000"/>
              </w:rPr>
              <w:t xml:space="preserve">How effective are short message service reminders at increasing clinic </w:t>
            </w:r>
            <w:r w:rsidRPr="00244C91">
              <w:rPr>
                <w:color w:val="000000"/>
              </w:rPr>
              <w:br/>
              <w:t>attendance? A meta-analysis and systematic review</w:t>
            </w:r>
          </w:p>
        </w:tc>
        <w:tc>
          <w:tcPr>
            <w:tcW w:w="0" w:type="auto"/>
            <w:vAlign w:val="center"/>
          </w:tcPr>
          <w:p w:rsidR="00BA6265" w:rsidRPr="00244C91" w:rsidRDefault="00BA6265" w:rsidP="006856D9">
            <w:pPr>
              <w:keepNext/>
              <w:spacing w:before="60" w:after="60"/>
              <w:rPr>
                <w:color w:val="000000"/>
              </w:rPr>
            </w:pPr>
            <w:r w:rsidRPr="00244C91">
              <w:rPr>
                <w:color w:val="000000"/>
              </w:rPr>
              <w:t>Health Services Research</w:t>
            </w:r>
            <w:r>
              <w:rPr>
                <w:color w:val="000000"/>
              </w:rPr>
              <w:t>,</w:t>
            </w:r>
            <w:r w:rsidRPr="00244C91">
              <w:rPr>
                <w:color w:val="000000"/>
              </w:rPr>
              <w:t xml:space="preserve"> 2012 47:2 (614-632)</w:t>
            </w:r>
          </w:p>
        </w:tc>
        <w:tc>
          <w:tcPr>
            <w:tcW w:w="0" w:type="auto"/>
            <w:vAlign w:val="center"/>
          </w:tcPr>
          <w:p w:rsidR="00BA6265" w:rsidRPr="00244C91" w:rsidRDefault="00BA6265" w:rsidP="006856D9">
            <w:pPr>
              <w:keepNext/>
              <w:spacing w:before="60" w:after="60"/>
              <w:rPr>
                <w:color w:val="000000"/>
              </w:rPr>
            </w:pPr>
            <w:r w:rsidRPr="00244C91">
              <w:rPr>
                <w:color w:val="000000"/>
              </w:rPr>
              <w:t>18 reports (10 controlled observational studies, 8 RCTs). Reviewed studies which involved a comparison of appointment attendance rates between patients who did and did not receive attendance reminders.</w:t>
            </w:r>
          </w:p>
        </w:tc>
        <w:tc>
          <w:tcPr>
            <w:tcW w:w="0" w:type="auto"/>
            <w:vAlign w:val="center"/>
          </w:tcPr>
          <w:p w:rsidR="00BA6265" w:rsidRPr="00244C91" w:rsidRDefault="00BA6265" w:rsidP="006856D9">
            <w:pPr>
              <w:keepNext/>
              <w:spacing w:before="60" w:after="60"/>
              <w:rPr>
                <w:color w:val="000000"/>
              </w:rPr>
            </w:pPr>
            <w:r w:rsidRPr="00244C91">
              <w:rPr>
                <w:color w:val="000000"/>
              </w:rPr>
              <w:t>Study designs other than RCT included. Focus on attendance for one-off appointments.</w:t>
            </w:r>
          </w:p>
        </w:tc>
      </w:tr>
      <w:tr w:rsidR="00BA6265" w:rsidRPr="00244C91" w:rsidTr="00B426AB">
        <w:trPr>
          <w:trHeight w:val="1188"/>
        </w:trPr>
        <w:tc>
          <w:tcPr>
            <w:tcW w:w="0" w:type="auto"/>
            <w:vAlign w:val="center"/>
          </w:tcPr>
          <w:p w:rsidR="00BA6265" w:rsidRPr="00244C91" w:rsidRDefault="00BA6265" w:rsidP="006856D9">
            <w:pPr>
              <w:keepNext/>
              <w:spacing w:before="60" w:after="60"/>
              <w:rPr>
                <w:color w:val="000000"/>
                <w:lang w:val="nl-NL"/>
              </w:rPr>
            </w:pPr>
            <w:r w:rsidRPr="00F17749">
              <w:rPr>
                <w:color w:val="000000"/>
                <w:lang w:val="nl-NL"/>
              </w:rPr>
              <w:t xml:space="preserve">Hardy H, Kumar V, Doros G, Farmer E, Drainoni ML, Rybin D, Myung D, Jackson J, Backman E, Stanic A, </w:t>
            </w:r>
            <w:r w:rsidRPr="00F17749">
              <w:rPr>
                <w:color w:val="000000"/>
                <w:lang w:val="nl-NL"/>
              </w:rPr>
              <w:lastRenderedPageBreak/>
              <w:t>Skolnik PR.</w:t>
            </w:r>
          </w:p>
        </w:tc>
        <w:tc>
          <w:tcPr>
            <w:tcW w:w="0" w:type="auto"/>
            <w:vAlign w:val="center"/>
          </w:tcPr>
          <w:p w:rsidR="00BA6265" w:rsidRPr="00244C91" w:rsidRDefault="00BA6265" w:rsidP="006856D9">
            <w:pPr>
              <w:keepNext/>
              <w:spacing w:before="60" w:after="60"/>
              <w:jc w:val="right"/>
              <w:rPr>
                <w:color w:val="000000"/>
              </w:rPr>
            </w:pPr>
            <w:r w:rsidRPr="00244C91">
              <w:rPr>
                <w:color w:val="000000"/>
              </w:rPr>
              <w:lastRenderedPageBreak/>
              <w:t>2011</w:t>
            </w:r>
          </w:p>
        </w:tc>
        <w:tc>
          <w:tcPr>
            <w:tcW w:w="0" w:type="auto"/>
            <w:vAlign w:val="center"/>
          </w:tcPr>
          <w:p w:rsidR="00BA6265" w:rsidRPr="00244C91" w:rsidRDefault="00BA6265" w:rsidP="006856D9">
            <w:pPr>
              <w:keepNext/>
              <w:spacing w:before="60" w:after="60"/>
              <w:rPr>
                <w:color w:val="000000"/>
              </w:rPr>
            </w:pPr>
            <w:r w:rsidRPr="00244C91">
              <w:rPr>
                <w:color w:val="000000"/>
              </w:rPr>
              <w:t xml:space="preserve">Randomized Controlled Trial of a Personalized Cellular Phone Reminder system to Enhance </w:t>
            </w:r>
            <w:r w:rsidRPr="00244C91">
              <w:rPr>
                <w:color w:val="000000"/>
              </w:rPr>
              <w:lastRenderedPageBreak/>
              <w:t>Adherence to Antiretroviral Therapy</w:t>
            </w:r>
          </w:p>
        </w:tc>
        <w:tc>
          <w:tcPr>
            <w:tcW w:w="0" w:type="auto"/>
            <w:vAlign w:val="center"/>
          </w:tcPr>
          <w:p w:rsidR="00BA6265" w:rsidRPr="00244C91" w:rsidRDefault="00BA6265" w:rsidP="006856D9">
            <w:pPr>
              <w:keepNext/>
              <w:spacing w:before="60" w:after="60"/>
              <w:rPr>
                <w:color w:val="000000"/>
              </w:rPr>
            </w:pPr>
            <w:r w:rsidRPr="00244C91">
              <w:rPr>
                <w:color w:val="000000"/>
              </w:rPr>
              <w:lastRenderedPageBreak/>
              <w:t>AIDS Patient Care &amp; STDs</w:t>
            </w:r>
            <w:r>
              <w:rPr>
                <w:color w:val="000000"/>
              </w:rPr>
              <w:t>,</w:t>
            </w:r>
            <w:r w:rsidRPr="00244C91">
              <w:rPr>
                <w:color w:val="000000"/>
              </w:rPr>
              <w:t xml:space="preserve"> 2011 Mar; 25(3): 153-61</w:t>
            </w:r>
          </w:p>
        </w:tc>
        <w:tc>
          <w:tcPr>
            <w:tcW w:w="0" w:type="auto"/>
            <w:vAlign w:val="center"/>
          </w:tcPr>
          <w:p w:rsidR="00BA6265" w:rsidRPr="00244C91" w:rsidRDefault="00BA6265" w:rsidP="006856D9">
            <w:pPr>
              <w:keepNext/>
              <w:spacing w:before="60" w:after="60"/>
              <w:rPr>
                <w:color w:val="000000"/>
              </w:rPr>
            </w:pPr>
            <w:r w:rsidRPr="00244C91">
              <w:rPr>
                <w:color w:val="000000"/>
              </w:rPr>
              <w:t>Randomized to personalised text messages daily or reminder beep at the time of dosing. 6 week study.</w:t>
            </w:r>
          </w:p>
        </w:tc>
        <w:tc>
          <w:tcPr>
            <w:tcW w:w="0" w:type="auto"/>
            <w:vAlign w:val="center"/>
          </w:tcPr>
          <w:p w:rsidR="00BA6265" w:rsidRPr="00244C91" w:rsidRDefault="00BA6265" w:rsidP="006856D9">
            <w:pPr>
              <w:keepNext/>
              <w:spacing w:before="60" w:after="60"/>
              <w:rPr>
                <w:color w:val="000000"/>
              </w:rPr>
            </w:pPr>
            <w:r w:rsidRPr="00244C91">
              <w:rPr>
                <w:color w:val="000000"/>
              </w:rPr>
              <w:t>No control group. Patient response by text message required.</w:t>
            </w:r>
          </w:p>
        </w:tc>
      </w:tr>
      <w:tr w:rsidR="00BA6265" w:rsidRPr="00244C91" w:rsidTr="00B426AB">
        <w:trPr>
          <w:trHeight w:val="110"/>
        </w:trPr>
        <w:tc>
          <w:tcPr>
            <w:tcW w:w="0" w:type="auto"/>
            <w:vAlign w:val="center"/>
          </w:tcPr>
          <w:p w:rsidR="00BA6265" w:rsidRPr="00244C91" w:rsidRDefault="00BA6265" w:rsidP="006856D9">
            <w:pPr>
              <w:keepNext/>
              <w:spacing w:before="60" w:after="60"/>
            </w:pPr>
            <w:proofErr w:type="spellStart"/>
            <w:r w:rsidRPr="00244C91">
              <w:lastRenderedPageBreak/>
              <w:t>Hasvold</w:t>
            </w:r>
            <w:proofErr w:type="spellEnd"/>
            <w:r w:rsidRPr="00244C91">
              <w:t xml:space="preserve">, PE, Wootton R. </w:t>
            </w:r>
          </w:p>
        </w:tc>
        <w:tc>
          <w:tcPr>
            <w:tcW w:w="0" w:type="auto"/>
            <w:vAlign w:val="center"/>
          </w:tcPr>
          <w:p w:rsidR="00BA6265" w:rsidRPr="00244C91" w:rsidRDefault="00BA6265" w:rsidP="006856D9">
            <w:pPr>
              <w:keepNext/>
              <w:spacing w:before="60" w:after="60"/>
              <w:jc w:val="right"/>
              <w:rPr>
                <w:color w:val="000000"/>
              </w:rPr>
            </w:pPr>
            <w:r w:rsidRPr="00244C91">
              <w:rPr>
                <w:color w:val="000000"/>
              </w:rPr>
              <w:t>2011</w:t>
            </w:r>
          </w:p>
        </w:tc>
        <w:tc>
          <w:tcPr>
            <w:tcW w:w="0" w:type="auto"/>
            <w:vAlign w:val="center"/>
          </w:tcPr>
          <w:p w:rsidR="00BA6265" w:rsidRPr="00244C91" w:rsidRDefault="00BA6265" w:rsidP="006856D9">
            <w:pPr>
              <w:keepNext/>
              <w:spacing w:before="60" w:after="60"/>
              <w:rPr>
                <w:color w:val="000000"/>
              </w:rPr>
            </w:pPr>
            <w:r w:rsidRPr="00244C91">
              <w:rPr>
                <w:color w:val="000000"/>
              </w:rPr>
              <w:t>Use of telephone and SMS reminders to improve attendance at hospital appointments: a systematic review</w:t>
            </w:r>
          </w:p>
        </w:tc>
        <w:tc>
          <w:tcPr>
            <w:tcW w:w="0" w:type="auto"/>
            <w:vAlign w:val="center"/>
          </w:tcPr>
          <w:p w:rsidR="00BA6265" w:rsidRPr="00244C91" w:rsidRDefault="00BA6265" w:rsidP="006856D9">
            <w:pPr>
              <w:keepNext/>
              <w:spacing w:before="60" w:after="60"/>
              <w:rPr>
                <w:color w:val="000000"/>
              </w:rPr>
            </w:pPr>
            <w:r w:rsidRPr="00244C91">
              <w:rPr>
                <w:color w:val="000000"/>
              </w:rPr>
              <w:t xml:space="preserve">Journal of Telemedicine &amp; </w:t>
            </w:r>
            <w:proofErr w:type="spellStart"/>
            <w:r w:rsidRPr="00244C91">
              <w:rPr>
                <w:color w:val="000000"/>
              </w:rPr>
              <w:t>Telecare</w:t>
            </w:r>
            <w:proofErr w:type="spellEnd"/>
            <w:r w:rsidRPr="00244C91">
              <w:rPr>
                <w:color w:val="000000"/>
              </w:rPr>
              <w:t>, 2011; 17 (7): 358-64</w:t>
            </w:r>
          </w:p>
        </w:tc>
        <w:tc>
          <w:tcPr>
            <w:tcW w:w="0" w:type="auto"/>
            <w:vAlign w:val="center"/>
          </w:tcPr>
          <w:p w:rsidR="00BA6265" w:rsidRPr="00244C91" w:rsidRDefault="00BA6265" w:rsidP="006856D9">
            <w:pPr>
              <w:keepNext/>
              <w:spacing w:before="60" w:after="60"/>
              <w:rPr>
                <w:color w:val="000000"/>
              </w:rPr>
            </w:pPr>
            <w:r w:rsidRPr="00244C91">
              <w:rPr>
                <w:color w:val="000000"/>
              </w:rPr>
              <w:t>29 Studies included (counted as 33 studies because 4 studies had 2 different intervention arms). Focus non-attendance for appointments in health care settings.</w:t>
            </w:r>
          </w:p>
        </w:tc>
        <w:tc>
          <w:tcPr>
            <w:tcW w:w="0" w:type="auto"/>
            <w:vAlign w:val="center"/>
          </w:tcPr>
          <w:p w:rsidR="00BA6265" w:rsidRPr="00244C91" w:rsidRDefault="00BA6265" w:rsidP="006856D9">
            <w:pPr>
              <w:keepNext/>
              <w:spacing w:before="60" w:after="60"/>
              <w:rPr>
                <w:color w:val="000000"/>
              </w:rPr>
            </w:pPr>
            <w:r w:rsidRPr="00244C91">
              <w:rPr>
                <w:color w:val="000000"/>
              </w:rPr>
              <w:t>Focus on attendance for one-off appointments. Of 29 studies, 9 were RCTS, design of the rest not known.</w:t>
            </w:r>
          </w:p>
        </w:tc>
      </w:tr>
      <w:tr w:rsidR="00BA6265" w:rsidRPr="00244C91" w:rsidTr="00B426AB">
        <w:trPr>
          <w:trHeight w:val="1500"/>
        </w:trPr>
        <w:tc>
          <w:tcPr>
            <w:tcW w:w="0" w:type="auto"/>
            <w:vAlign w:val="center"/>
          </w:tcPr>
          <w:p w:rsidR="00BA6265" w:rsidRPr="00244C91" w:rsidRDefault="00BA6265" w:rsidP="006856D9">
            <w:pPr>
              <w:keepNext/>
              <w:spacing w:before="60" w:after="60"/>
              <w:rPr>
                <w:color w:val="000000"/>
              </w:rPr>
            </w:pPr>
            <w:r w:rsidRPr="00244C91">
              <w:rPr>
                <w:color w:val="000000"/>
              </w:rPr>
              <w:t>Kim YS; Cho S.J</w:t>
            </w:r>
          </w:p>
        </w:tc>
        <w:tc>
          <w:tcPr>
            <w:tcW w:w="0" w:type="auto"/>
            <w:vAlign w:val="center"/>
          </w:tcPr>
          <w:p w:rsidR="00BA6265" w:rsidRPr="00244C91" w:rsidRDefault="00BA6265" w:rsidP="006856D9">
            <w:pPr>
              <w:keepNext/>
              <w:spacing w:before="60" w:after="60"/>
              <w:jc w:val="right"/>
              <w:rPr>
                <w:color w:val="000000"/>
              </w:rPr>
            </w:pPr>
            <w:r w:rsidRPr="00244C91">
              <w:rPr>
                <w:color w:val="000000"/>
              </w:rPr>
              <w:t>2007</w:t>
            </w:r>
          </w:p>
        </w:tc>
        <w:tc>
          <w:tcPr>
            <w:tcW w:w="0" w:type="auto"/>
            <w:vAlign w:val="center"/>
          </w:tcPr>
          <w:p w:rsidR="00BA6265" w:rsidRPr="00244C91" w:rsidRDefault="00BA6265" w:rsidP="006856D9">
            <w:pPr>
              <w:keepNext/>
              <w:spacing w:before="60" w:after="60"/>
              <w:rPr>
                <w:color w:val="000000"/>
              </w:rPr>
            </w:pPr>
            <w:r w:rsidRPr="00244C91">
              <w:rPr>
                <w:color w:val="000000"/>
              </w:rPr>
              <w:t xml:space="preserve">Mobile phone message versus postal reminders to increase treatment adherence after lipid lowering therapy among </w:t>
            </w:r>
            <w:proofErr w:type="spellStart"/>
            <w:r w:rsidRPr="00244C91">
              <w:rPr>
                <w:color w:val="000000"/>
              </w:rPr>
              <w:t>hyperlipidemic</w:t>
            </w:r>
            <w:proofErr w:type="spellEnd"/>
            <w:r w:rsidRPr="00244C91">
              <w:rPr>
                <w:color w:val="000000"/>
              </w:rPr>
              <w:t xml:space="preserve"> patients in primary care </w:t>
            </w:r>
          </w:p>
        </w:tc>
        <w:tc>
          <w:tcPr>
            <w:tcW w:w="0" w:type="auto"/>
            <w:vAlign w:val="center"/>
          </w:tcPr>
          <w:p w:rsidR="00BA6265" w:rsidRPr="00244C91" w:rsidRDefault="00BA6265" w:rsidP="006856D9">
            <w:pPr>
              <w:keepNext/>
              <w:spacing w:before="60" w:after="60"/>
              <w:rPr>
                <w:color w:val="000000"/>
              </w:rPr>
            </w:pPr>
            <w:r w:rsidRPr="00244C91">
              <w:rPr>
                <w:color w:val="000000"/>
              </w:rPr>
              <w:t>Value In Health</w:t>
            </w:r>
            <w:r>
              <w:rPr>
                <w:color w:val="000000"/>
              </w:rPr>
              <w:t>,</w:t>
            </w:r>
            <w:r w:rsidRPr="00244C91">
              <w:rPr>
                <w:color w:val="000000"/>
              </w:rPr>
              <w:t xml:space="preserve">  Volume: 10   Issue: 3   Pages: A57-A57   </w:t>
            </w:r>
          </w:p>
        </w:tc>
        <w:tc>
          <w:tcPr>
            <w:tcW w:w="0" w:type="auto"/>
            <w:vAlign w:val="center"/>
          </w:tcPr>
          <w:p w:rsidR="00BA6265" w:rsidRPr="00244C91" w:rsidRDefault="00BA6265" w:rsidP="006856D9">
            <w:pPr>
              <w:keepNext/>
              <w:spacing w:before="60" w:after="60"/>
              <w:rPr>
                <w:color w:val="000000"/>
              </w:rPr>
            </w:pPr>
            <w:r w:rsidRPr="00244C91">
              <w:rPr>
                <w:color w:val="000000"/>
              </w:rPr>
              <w:t xml:space="preserve">Compared mobile phone messaging and postal reminders as means of increasing the follow-up attendance rate </w:t>
            </w:r>
          </w:p>
        </w:tc>
        <w:tc>
          <w:tcPr>
            <w:tcW w:w="0" w:type="auto"/>
            <w:vAlign w:val="center"/>
          </w:tcPr>
          <w:p w:rsidR="00BA6265" w:rsidRPr="00244C91" w:rsidRDefault="00BA6265" w:rsidP="006856D9">
            <w:pPr>
              <w:keepNext/>
              <w:spacing w:before="60" w:after="60"/>
              <w:rPr>
                <w:color w:val="000000"/>
              </w:rPr>
            </w:pPr>
            <w:r w:rsidRPr="00244C91">
              <w:rPr>
                <w:color w:val="000000"/>
              </w:rPr>
              <w:t>Focus on attendance for one appointment at 24 weeks post therapy. Abstract for conference presentation or poster only.</w:t>
            </w:r>
          </w:p>
        </w:tc>
      </w:tr>
      <w:tr w:rsidR="00BA6265" w:rsidRPr="00244C91" w:rsidTr="00B426AB">
        <w:trPr>
          <w:trHeight w:val="451"/>
        </w:trPr>
        <w:tc>
          <w:tcPr>
            <w:tcW w:w="0" w:type="auto"/>
            <w:vAlign w:val="center"/>
          </w:tcPr>
          <w:p w:rsidR="00BA6265" w:rsidRPr="00244C91" w:rsidRDefault="00BA6265" w:rsidP="006856D9">
            <w:pPr>
              <w:keepNext/>
              <w:spacing w:before="60" w:after="60"/>
              <w:rPr>
                <w:color w:val="000000"/>
              </w:rPr>
            </w:pPr>
            <w:proofErr w:type="spellStart"/>
            <w:r w:rsidRPr="00244C91">
              <w:rPr>
                <w:color w:val="000000"/>
              </w:rPr>
              <w:t>Koury</w:t>
            </w:r>
            <w:proofErr w:type="spellEnd"/>
            <w:r w:rsidRPr="00244C91">
              <w:rPr>
                <w:color w:val="000000"/>
              </w:rPr>
              <w:t xml:space="preserve"> E, </w:t>
            </w:r>
            <w:proofErr w:type="spellStart"/>
            <w:r w:rsidRPr="00244C91">
              <w:rPr>
                <w:color w:val="000000"/>
              </w:rPr>
              <w:t>Faris</w:t>
            </w:r>
            <w:proofErr w:type="spellEnd"/>
            <w:r w:rsidRPr="00244C91">
              <w:rPr>
                <w:color w:val="000000"/>
              </w:rPr>
              <w:t xml:space="preserve"> C.</w:t>
            </w:r>
          </w:p>
        </w:tc>
        <w:tc>
          <w:tcPr>
            <w:tcW w:w="0" w:type="auto"/>
            <w:vAlign w:val="center"/>
          </w:tcPr>
          <w:p w:rsidR="00BA6265" w:rsidRPr="00244C91" w:rsidRDefault="00BA6265" w:rsidP="006856D9">
            <w:pPr>
              <w:keepNext/>
              <w:spacing w:before="60" w:after="60"/>
              <w:jc w:val="right"/>
              <w:rPr>
                <w:color w:val="000000"/>
              </w:rPr>
            </w:pPr>
            <w:r w:rsidRPr="00244C91">
              <w:rPr>
                <w:color w:val="000000"/>
              </w:rPr>
              <w:t>2005</w:t>
            </w:r>
          </w:p>
        </w:tc>
        <w:tc>
          <w:tcPr>
            <w:tcW w:w="0" w:type="auto"/>
            <w:vAlign w:val="center"/>
          </w:tcPr>
          <w:p w:rsidR="00BA6265" w:rsidRPr="00244C91" w:rsidRDefault="00BA6265" w:rsidP="006856D9">
            <w:pPr>
              <w:keepNext/>
              <w:spacing w:before="60" w:after="60"/>
              <w:rPr>
                <w:color w:val="000000"/>
              </w:rPr>
            </w:pPr>
            <w:r w:rsidRPr="00244C91">
              <w:rPr>
                <w:color w:val="000000"/>
              </w:rPr>
              <w:t>Mobile phones and clinic appointments: the start of a beautiful new friendship?</w:t>
            </w:r>
          </w:p>
        </w:tc>
        <w:tc>
          <w:tcPr>
            <w:tcW w:w="0" w:type="auto"/>
            <w:vAlign w:val="center"/>
          </w:tcPr>
          <w:p w:rsidR="00BA6265" w:rsidRPr="00244C91" w:rsidRDefault="00BA6265" w:rsidP="006856D9">
            <w:pPr>
              <w:keepNext/>
              <w:spacing w:before="60" w:after="60"/>
              <w:rPr>
                <w:color w:val="000000"/>
              </w:rPr>
            </w:pPr>
            <w:r w:rsidRPr="00F17749">
              <w:rPr>
                <w:color w:val="000000"/>
              </w:rPr>
              <w:t>British Journal of Healthcare Computing &amp; Information Management</w:t>
            </w:r>
            <w:r>
              <w:rPr>
                <w:color w:val="000000"/>
              </w:rPr>
              <w:t>,</w:t>
            </w:r>
            <w:r w:rsidRPr="00F17749">
              <w:rPr>
                <w:color w:val="000000"/>
              </w:rPr>
              <w:t xml:space="preserve"> </w:t>
            </w:r>
            <w:r w:rsidRPr="00244C91">
              <w:rPr>
                <w:color w:val="000000"/>
              </w:rPr>
              <w:t>2005; 22(8): 18-20.</w:t>
            </w:r>
          </w:p>
        </w:tc>
        <w:tc>
          <w:tcPr>
            <w:tcW w:w="0" w:type="auto"/>
            <w:vAlign w:val="center"/>
          </w:tcPr>
          <w:p w:rsidR="00BA6265" w:rsidRPr="00244C91" w:rsidRDefault="00BA6265" w:rsidP="006856D9">
            <w:pPr>
              <w:keepNext/>
              <w:spacing w:before="60" w:after="60"/>
              <w:rPr>
                <w:color w:val="000000"/>
              </w:rPr>
            </w:pPr>
            <w:r w:rsidRPr="00244C91">
              <w:rPr>
                <w:color w:val="000000"/>
              </w:rPr>
              <w:t>Conference abstract only. RCT was conducted to assess the feasibility and effect of using SMS text messaging as a means of reminding patients of their appointments at an NHS OPD</w:t>
            </w:r>
          </w:p>
        </w:tc>
        <w:tc>
          <w:tcPr>
            <w:tcW w:w="0" w:type="auto"/>
            <w:vAlign w:val="center"/>
          </w:tcPr>
          <w:p w:rsidR="00BA6265" w:rsidRPr="00244C91" w:rsidRDefault="00BA6265" w:rsidP="006856D9">
            <w:pPr>
              <w:keepNext/>
              <w:spacing w:before="60" w:after="60"/>
              <w:rPr>
                <w:color w:val="000000"/>
              </w:rPr>
            </w:pPr>
            <w:r w:rsidRPr="00244C91">
              <w:rPr>
                <w:color w:val="000000"/>
              </w:rPr>
              <w:t>Focus on attendance for one appointment.</w:t>
            </w:r>
          </w:p>
        </w:tc>
      </w:tr>
      <w:tr w:rsidR="00BA6265" w:rsidRPr="00244C91" w:rsidTr="00B426AB">
        <w:trPr>
          <w:trHeight w:val="441"/>
        </w:trPr>
        <w:tc>
          <w:tcPr>
            <w:tcW w:w="0" w:type="auto"/>
            <w:vAlign w:val="center"/>
          </w:tcPr>
          <w:p w:rsidR="00BA6265" w:rsidRPr="00244C91" w:rsidRDefault="00BA6265" w:rsidP="006856D9">
            <w:pPr>
              <w:keepNext/>
              <w:spacing w:before="60" w:after="60"/>
              <w:rPr>
                <w:color w:val="000000"/>
              </w:rPr>
            </w:pPr>
            <w:proofErr w:type="spellStart"/>
            <w:r w:rsidRPr="00F17749">
              <w:rPr>
                <w:color w:val="000000"/>
              </w:rPr>
              <w:t>Kunawararak</w:t>
            </w:r>
            <w:proofErr w:type="spellEnd"/>
            <w:r w:rsidRPr="00F17749">
              <w:rPr>
                <w:color w:val="000000"/>
              </w:rPr>
              <w:t xml:space="preserve"> P, </w:t>
            </w:r>
            <w:proofErr w:type="spellStart"/>
            <w:r w:rsidRPr="00F17749">
              <w:rPr>
                <w:color w:val="000000"/>
              </w:rPr>
              <w:t>Pongpanich</w:t>
            </w:r>
            <w:proofErr w:type="spellEnd"/>
            <w:r w:rsidRPr="00F17749">
              <w:rPr>
                <w:color w:val="000000"/>
              </w:rPr>
              <w:t xml:space="preserve"> S, </w:t>
            </w:r>
            <w:proofErr w:type="spellStart"/>
            <w:r w:rsidRPr="00F17749">
              <w:rPr>
                <w:color w:val="000000"/>
              </w:rPr>
              <w:t>Chantawong</w:t>
            </w:r>
            <w:proofErr w:type="spellEnd"/>
            <w:r w:rsidRPr="00F17749">
              <w:rPr>
                <w:color w:val="000000"/>
              </w:rPr>
              <w:t xml:space="preserve"> S, </w:t>
            </w:r>
            <w:proofErr w:type="spellStart"/>
            <w:r w:rsidRPr="00F17749">
              <w:rPr>
                <w:color w:val="000000"/>
              </w:rPr>
              <w:t>Pokaew</w:t>
            </w:r>
            <w:proofErr w:type="spellEnd"/>
            <w:r w:rsidRPr="00F17749">
              <w:rPr>
                <w:color w:val="000000"/>
              </w:rPr>
              <w:t xml:space="preserve"> P, </w:t>
            </w:r>
            <w:proofErr w:type="spellStart"/>
            <w:r w:rsidRPr="00F17749">
              <w:rPr>
                <w:color w:val="000000"/>
              </w:rPr>
              <w:t>Traisathit</w:t>
            </w:r>
            <w:proofErr w:type="spellEnd"/>
            <w:r w:rsidRPr="00F17749">
              <w:rPr>
                <w:color w:val="000000"/>
              </w:rPr>
              <w:t xml:space="preserve"> P, </w:t>
            </w:r>
            <w:proofErr w:type="spellStart"/>
            <w:r w:rsidRPr="00F17749">
              <w:rPr>
                <w:color w:val="000000"/>
              </w:rPr>
              <w:t>Srithanaviboonchai</w:t>
            </w:r>
            <w:proofErr w:type="spellEnd"/>
            <w:r w:rsidRPr="00F17749">
              <w:rPr>
                <w:color w:val="000000"/>
              </w:rPr>
              <w:t xml:space="preserve"> K, </w:t>
            </w:r>
            <w:proofErr w:type="spellStart"/>
            <w:r w:rsidRPr="00F17749">
              <w:rPr>
                <w:color w:val="000000"/>
              </w:rPr>
              <w:t>Plipat</w:t>
            </w:r>
            <w:proofErr w:type="spellEnd"/>
            <w:r w:rsidRPr="00F17749">
              <w:rPr>
                <w:color w:val="000000"/>
              </w:rPr>
              <w:t xml:space="preserve"> T.</w:t>
            </w:r>
          </w:p>
        </w:tc>
        <w:tc>
          <w:tcPr>
            <w:tcW w:w="0" w:type="auto"/>
            <w:vAlign w:val="center"/>
          </w:tcPr>
          <w:p w:rsidR="00BA6265" w:rsidRPr="00244C91" w:rsidRDefault="00BA6265" w:rsidP="006856D9">
            <w:pPr>
              <w:keepNext/>
              <w:spacing w:before="60" w:after="60"/>
              <w:jc w:val="right"/>
              <w:rPr>
                <w:color w:val="000000"/>
              </w:rPr>
            </w:pPr>
            <w:r w:rsidRPr="00244C91">
              <w:rPr>
                <w:color w:val="000000"/>
              </w:rPr>
              <w:t>2011</w:t>
            </w:r>
          </w:p>
        </w:tc>
        <w:tc>
          <w:tcPr>
            <w:tcW w:w="0" w:type="auto"/>
            <w:vAlign w:val="center"/>
          </w:tcPr>
          <w:p w:rsidR="00BA6265" w:rsidRPr="00244C91" w:rsidRDefault="00BA6265" w:rsidP="006856D9">
            <w:pPr>
              <w:keepNext/>
              <w:spacing w:before="60" w:after="60"/>
              <w:rPr>
                <w:color w:val="000000"/>
              </w:rPr>
            </w:pPr>
            <w:r w:rsidRPr="00244C91">
              <w:rPr>
                <w:color w:val="000000"/>
              </w:rPr>
              <w:t>Tuberculosis treatment with mobile-phone medication reminders in northern Thailand.</w:t>
            </w:r>
          </w:p>
        </w:tc>
        <w:tc>
          <w:tcPr>
            <w:tcW w:w="0" w:type="auto"/>
            <w:vAlign w:val="center"/>
          </w:tcPr>
          <w:p w:rsidR="00BA6265" w:rsidRPr="00244C91" w:rsidRDefault="00BA6265" w:rsidP="006856D9">
            <w:pPr>
              <w:keepNext/>
              <w:spacing w:before="60" w:after="60"/>
              <w:rPr>
                <w:color w:val="000000"/>
              </w:rPr>
            </w:pPr>
            <w:r w:rsidRPr="00F17749">
              <w:rPr>
                <w:color w:val="000000"/>
              </w:rPr>
              <w:t>The Southeast Asian Journal of Tropical Medicine and Public Health</w:t>
            </w:r>
            <w:r>
              <w:rPr>
                <w:color w:val="000000"/>
              </w:rPr>
              <w:t>,</w:t>
            </w:r>
            <w:r w:rsidRPr="00244C91">
              <w:rPr>
                <w:color w:val="000000"/>
              </w:rPr>
              <w:t xml:space="preserve"> 2011 Nov;42(6):1444-51.</w:t>
            </w:r>
          </w:p>
        </w:tc>
        <w:tc>
          <w:tcPr>
            <w:tcW w:w="0" w:type="auto"/>
            <w:vAlign w:val="center"/>
          </w:tcPr>
          <w:p w:rsidR="00BA6265" w:rsidRPr="00244C91" w:rsidRDefault="00BA6265" w:rsidP="006856D9">
            <w:pPr>
              <w:keepNext/>
              <w:spacing w:before="60" w:after="60"/>
              <w:rPr>
                <w:color w:val="000000"/>
              </w:rPr>
            </w:pPr>
            <w:r w:rsidRPr="00244C91">
              <w:rPr>
                <w:color w:val="000000"/>
              </w:rPr>
              <w:t xml:space="preserve">Multi-drug resistant (MDR) and non-MDR-TB patients randomised into either Model 1 (DOTS conventional treatment strategy) or Model 2 (DOTS + phone call reminder to take </w:t>
            </w:r>
            <w:r w:rsidRPr="00244C91">
              <w:rPr>
                <w:color w:val="000000"/>
              </w:rPr>
              <w:lastRenderedPageBreak/>
              <w:t>medication)</w:t>
            </w:r>
          </w:p>
        </w:tc>
        <w:tc>
          <w:tcPr>
            <w:tcW w:w="0" w:type="auto"/>
            <w:vAlign w:val="center"/>
          </w:tcPr>
          <w:p w:rsidR="00BA6265" w:rsidRPr="00244C91" w:rsidRDefault="00BA6265" w:rsidP="006856D9">
            <w:pPr>
              <w:keepNext/>
              <w:spacing w:before="60" w:after="60"/>
              <w:rPr>
                <w:color w:val="000000"/>
              </w:rPr>
            </w:pPr>
            <w:r w:rsidRPr="00244C91">
              <w:rPr>
                <w:color w:val="000000"/>
              </w:rPr>
              <w:lastRenderedPageBreak/>
              <w:t>Intervention consisted of telephone call reminder and not text message.</w:t>
            </w:r>
          </w:p>
        </w:tc>
      </w:tr>
      <w:tr w:rsidR="00BA6265" w:rsidRPr="00244C91" w:rsidTr="00B426AB">
        <w:trPr>
          <w:trHeight w:val="304"/>
        </w:trPr>
        <w:tc>
          <w:tcPr>
            <w:tcW w:w="0" w:type="auto"/>
            <w:vAlign w:val="center"/>
          </w:tcPr>
          <w:p w:rsidR="00BA6265" w:rsidRPr="00244C91" w:rsidRDefault="00BA6265" w:rsidP="006856D9">
            <w:pPr>
              <w:keepNext/>
              <w:spacing w:before="60" w:after="60"/>
              <w:rPr>
                <w:lang w:val="nl-NL"/>
              </w:rPr>
            </w:pPr>
            <w:r w:rsidRPr="00F17749">
              <w:rPr>
                <w:lang w:val="nl-NL"/>
              </w:rPr>
              <w:lastRenderedPageBreak/>
              <w:t>Leong KC, Chen WS, Leong KW, Mastura I, Mimi O, Sheikh MA, Zailinawati AH, Ng CJ, Phua KL, Teng CL.</w:t>
            </w:r>
          </w:p>
        </w:tc>
        <w:tc>
          <w:tcPr>
            <w:tcW w:w="0" w:type="auto"/>
            <w:vAlign w:val="center"/>
          </w:tcPr>
          <w:p w:rsidR="00BA6265" w:rsidRPr="00244C91" w:rsidRDefault="00BA6265" w:rsidP="006856D9">
            <w:pPr>
              <w:keepNext/>
              <w:spacing w:before="60" w:after="60"/>
              <w:jc w:val="right"/>
              <w:rPr>
                <w:color w:val="000000"/>
              </w:rPr>
            </w:pPr>
            <w:r w:rsidRPr="00244C91">
              <w:rPr>
                <w:color w:val="000000"/>
              </w:rPr>
              <w:t>2006</w:t>
            </w:r>
          </w:p>
        </w:tc>
        <w:tc>
          <w:tcPr>
            <w:tcW w:w="0" w:type="auto"/>
            <w:vAlign w:val="center"/>
          </w:tcPr>
          <w:p w:rsidR="00BA6265" w:rsidRPr="00244C91" w:rsidRDefault="00BA6265" w:rsidP="006856D9">
            <w:pPr>
              <w:keepNext/>
              <w:spacing w:before="60" w:after="60"/>
              <w:rPr>
                <w:color w:val="000000"/>
              </w:rPr>
            </w:pPr>
            <w:r w:rsidRPr="00244C91">
              <w:rPr>
                <w:color w:val="000000"/>
              </w:rPr>
              <w:t>The use of text messaging to improve attendance in primary care: a randomized controlled trial.</w:t>
            </w:r>
          </w:p>
        </w:tc>
        <w:tc>
          <w:tcPr>
            <w:tcW w:w="0" w:type="auto"/>
            <w:vAlign w:val="center"/>
          </w:tcPr>
          <w:p w:rsidR="00BA6265" w:rsidRPr="00244C91" w:rsidRDefault="00BA6265" w:rsidP="006856D9">
            <w:pPr>
              <w:keepNext/>
              <w:spacing w:before="60" w:after="60"/>
              <w:rPr>
                <w:color w:val="000000"/>
              </w:rPr>
            </w:pPr>
            <w:r w:rsidRPr="00F17749">
              <w:rPr>
                <w:color w:val="000000"/>
              </w:rPr>
              <w:t>The Journal of Family Practice</w:t>
            </w:r>
            <w:r>
              <w:rPr>
                <w:color w:val="000000"/>
              </w:rPr>
              <w:t>,</w:t>
            </w:r>
            <w:r w:rsidRPr="00244C91">
              <w:rPr>
                <w:color w:val="000000"/>
              </w:rPr>
              <w:t xml:space="preserve"> 2006 Dec;23(6):699-705.</w:t>
            </w:r>
          </w:p>
        </w:tc>
        <w:tc>
          <w:tcPr>
            <w:tcW w:w="0" w:type="auto"/>
            <w:vAlign w:val="center"/>
          </w:tcPr>
          <w:p w:rsidR="00BA6265" w:rsidRPr="00244C91" w:rsidRDefault="00BA6265" w:rsidP="006856D9">
            <w:pPr>
              <w:keepNext/>
              <w:spacing w:before="60" w:after="60"/>
              <w:rPr>
                <w:color w:val="000000"/>
              </w:rPr>
            </w:pPr>
            <w:r w:rsidRPr="00244C91">
              <w:rPr>
                <w:color w:val="000000"/>
              </w:rPr>
              <w:t xml:space="preserve">Two intervention arms consisted of text messaging and mobile phone reminders 24-48 hours prior to scheduled appointments. Control group - no intervention. </w:t>
            </w:r>
          </w:p>
        </w:tc>
        <w:tc>
          <w:tcPr>
            <w:tcW w:w="0" w:type="auto"/>
            <w:vAlign w:val="center"/>
          </w:tcPr>
          <w:p w:rsidR="00BA6265" w:rsidRPr="00244C91" w:rsidRDefault="00BA6265" w:rsidP="006856D9">
            <w:pPr>
              <w:keepNext/>
              <w:spacing w:before="60" w:after="60"/>
              <w:rPr>
                <w:color w:val="000000"/>
              </w:rPr>
            </w:pPr>
            <w:r w:rsidRPr="00244C91">
              <w:rPr>
                <w:color w:val="000000"/>
              </w:rPr>
              <w:t>Focus on attendance for one appointment.</w:t>
            </w:r>
          </w:p>
        </w:tc>
      </w:tr>
      <w:tr w:rsidR="00BA6265" w:rsidRPr="00244C91" w:rsidTr="00B426AB">
        <w:trPr>
          <w:trHeight w:val="1453"/>
        </w:trPr>
        <w:tc>
          <w:tcPr>
            <w:tcW w:w="0" w:type="auto"/>
            <w:vAlign w:val="center"/>
          </w:tcPr>
          <w:p w:rsidR="00BA6265" w:rsidRPr="00244C91" w:rsidRDefault="00BA6265" w:rsidP="006856D9">
            <w:pPr>
              <w:keepNext/>
              <w:spacing w:before="60" w:after="60"/>
              <w:rPr>
                <w:color w:val="000000"/>
                <w:lang w:val="nl-NL"/>
              </w:rPr>
            </w:pPr>
            <w:r w:rsidRPr="00F17749">
              <w:rPr>
                <w:color w:val="000000"/>
                <w:lang w:val="nl-NL"/>
              </w:rPr>
              <w:t>Lester RT, Ritvo P, Mills EJ</w:t>
            </w:r>
            <w:r>
              <w:rPr>
                <w:color w:val="000000"/>
                <w:lang w:val="nl-NL"/>
              </w:rPr>
              <w:t>, Kariri A, Karanja S, Chung MH</w:t>
            </w:r>
            <w:r w:rsidRPr="00244C91">
              <w:rPr>
                <w:color w:val="000000"/>
                <w:lang w:val="nl-NL"/>
              </w:rPr>
              <w:t xml:space="preserve">, </w:t>
            </w:r>
            <w:r w:rsidRPr="00244C91">
              <w:rPr>
                <w:i/>
                <w:color w:val="000000"/>
                <w:lang w:val="nl-NL"/>
              </w:rPr>
              <w:t>et al</w:t>
            </w:r>
          </w:p>
        </w:tc>
        <w:tc>
          <w:tcPr>
            <w:tcW w:w="0" w:type="auto"/>
            <w:vAlign w:val="center"/>
          </w:tcPr>
          <w:p w:rsidR="00BA6265" w:rsidRPr="00244C91" w:rsidRDefault="00BA6265" w:rsidP="006856D9">
            <w:pPr>
              <w:keepNext/>
              <w:spacing w:before="60" w:after="60"/>
              <w:jc w:val="right"/>
              <w:rPr>
                <w:color w:val="000000"/>
                <w:lang w:val="nl-NL"/>
              </w:rPr>
            </w:pPr>
            <w:r w:rsidRPr="00244C91">
              <w:rPr>
                <w:color w:val="000000"/>
                <w:lang w:val="nl-NL"/>
              </w:rPr>
              <w:t>2010</w:t>
            </w:r>
          </w:p>
        </w:tc>
        <w:tc>
          <w:tcPr>
            <w:tcW w:w="0" w:type="auto"/>
            <w:vAlign w:val="center"/>
          </w:tcPr>
          <w:p w:rsidR="00BA6265" w:rsidRPr="00244C91" w:rsidRDefault="00BA6265" w:rsidP="006856D9">
            <w:pPr>
              <w:keepNext/>
              <w:spacing w:before="60" w:after="60"/>
              <w:rPr>
                <w:color w:val="000000"/>
              </w:rPr>
            </w:pPr>
            <w:r w:rsidRPr="00244C91">
              <w:rPr>
                <w:color w:val="000000"/>
              </w:rPr>
              <w:t>Effects of a mobile phone short message service on antiretroviral treatment adherence in Kenya (</w:t>
            </w:r>
            <w:proofErr w:type="spellStart"/>
            <w:r w:rsidRPr="00244C91">
              <w:rPr>
                <w:color w:val="000000"/>
              </w:rPr>
              <w:t>WelTel</w:t>
            </w:r>
            <w:proofErr w:type="spellEnd"/>
            <w:r w:rsidRPr="00244C91">
              <w:rPr>
                <w:color w:val="000000"/>
              </w:rPr>
              <w:t xml:space="preserve"> Kenya1): a randomised trial</w:t>
            </w:r>
          </w:p>
        </w:tc>
        <w:tc>
          <w:tcPr>
            <w:tcW w:w="0" w:type="auto"/>
            <w:vAlign w:val="center"/>
          </w:tcPr>
          <w:p w:rsidR="00BA6265" w:rsidRPr="00244C91" w:rsidRDefault="00BA6265" w:rsidP="006856D9">
            <w:pPr>
              <w:keepNext/>
              <w:spacing w:before="60" w:after="60"/>
              <w:rPr>
                <w:color w:val="000000"/>
              </w:rPr>
            </w:pPr>
            <w:r w:rsidRPr="00244C91">
              <w:rPr>
                <w:color w:val="000000"/>
              </w:rPr>
              <w:t>The Lancet</w:t>
            </w:r>
            <w:r>
              <w:rPr>
                <w:color w:val="000000"/>
              </w:rPr>
              <w:t>,</w:t>
            </w:r>
            <w:r w:rsidRPr="00244C91">
              <w:rPr>
                <w:color w:val="000000"/>
              </w:rPr>
              <w:t xml:space="preserve"> 2010 Nov 27;376 (9755):1838-45</w:t>
            </w:r>
          </w:p>
        </w:tc>
        <w:tc>
          <w:tcPr>
            <w:tcW w:w="0" w:type="auto"/>
            <w:vAlign w:val="center"/>
          </w:tcPr>
          <w:p w:rsidR="00BA6265" w:rsidRPr="00244C91" w:rsidRDefault="00BA6265" w:rsidP="006856D9">
            <w:pPr>
              <w:keepNext/>
              <w:spacing w:before="60" w:after="60"/>
              <w:rPr>
                <w:color w:val="000000"/>
              </w:rPr>
            </w:pPr>
            <w:r w:rsidRPr="00244C91">
              <w:rPr>
                <w:color w:val="000000"/>
              </w:rPr>
              <w:t>Randomised to i) SMS intervention or ii) standard care. Intervention group received weekly SMS messages and required to respond in 48 h.</w:t>
            </w:r>
          </w:p>
        </w:tc>
        <w:tc>
          <w:tcPr>
            <w:tcW w:w="0" w:type="auto"/>
            <w:vAlign w:val="center"/>
          </w:tcPr>
          <w:p w:rsidR="00BA6265" w:rsidRPr="00244C91" w:rsidRDefault="00BA6265" w:rsidP="006856D9">
            <w:pPr>
              <w:keepNext/>
              <w:spacing w:before="60" w:after="60"/>
              <w:rPr>
                <w:color w:val="000000"/>
              </w:rPr>
            </w:pPr>
            <w:r w:rsidRPr="00244C91">
              <w:rPr>
                <w:color w:val="000000"/>
              </w:rPr>
              <w:t>Patients were required to respond within 48 h.</w:t>
            </w:r>
          </w:p>
        </w:tc>
      </w:tr>
      <w:tr w:rsidR="00BA6265" w:rsidRPr="00244C91" w:rsidTr="00B426AB">
        <w:trPr>
          <w:trHeight w:val="581"/>
        </w:trPr>
        <w:tc>
          <w:tcPr>
            <w:tcW w:w="0" w:type="auto"/>
            <w:vAlign w:val="center"/>
          </w:tcPr>
          <w:p w:rsidR="00BA6265" w:rsidRPr="00244C91" w:rsidRDefault="00BA6265" w:rsidP="006856D9">
            <w:pPr>
              <w:keepNext/>
              <w:spacing w:before="60" w:after="60"/>
              <w:rPr>
                <w:color w:val="000000"/>
                <w:lang w:val="nl-NL"/>
              </w:rPr>
            </w:pPr>
            <w:r w:rsidRPr="00F17749">
              <w:rPr>
                <w:color w:val="000000"/>
                <w:lang w:val="nl-NL"/>
              </w:rPr>
              <w:t>Liang X, Wang Q, Yang X, Cao J, Chen J, Mo X, Huang J, Wang L, Gu D.</w:t>
            </w:r>
          </w:p>
        </w:tc>
        <w:tc>
          <w:tcPr>
            <w:tcW w:w="0" w:type="auto"/>
            <w:vAlign w:val="center"/>
          </w:tcPr>
          <w:p w:rsidR="00BA6265" w:rsidRPr="00244C91" w:rsidRDefault="00BA6265" w:rsidP="006856D9">
            <w:pPr>
              <w:keepNext/>
              <w:spacing w:before="60" w:after="60"/>
              <w:jc w:val="right"/>
              <w:rPr>
                <w:color w:val="000000"/>
              </w:rPr>
            </w:pPr>
            <w:r w:rsidRPr="00244C91">
              <w:rPr>
                <w:color w:val="000000"/>
              </w:rPr>
              <w:t>2011</w:t>
            </w:r>
          </w:p>
        </w:tc>
        <w:tc>
          <w:tcPr>
            <w:tcW w:w="0" w:type="auto"/>
            <w:vAlign w:val="center"/>
          </w:tcPr>
          <w:p w:rsidR="00BA6265" w:rsidRPr="00244C91" w:rsidRDefault="00BA6265" w:rsidP="006856D9">
            <w:pPr>
              <w:keepNext/>
              <w:spacing w:before="60" w:after="60"/>
              <w:rPr>
                <w:color w:val="000000"/>
              </w:rPr>
            </w:pPr>
            <w:r w:rsidRPr="00244C91">
              <w:rPr>
                <w:color w:val="000000"/>
              </w:rPr>
              <w:t xml:space="preserve">Effect of mobile phone intervention for diabetes on glycaemic control: </w:t>
            </w:r>
            <w:r w:rsidRPr="00244C91">
              <w:rPr>
                <w:color w:val="000000"/>
              </w:rPr>
              <w:br/>
              <w:t>A meta-analysis</w:t>
            </w:r>
          </w:p>
        </w:tc>
        <w:tc>
          <w:tcPr>
            <w:tcW w:w="0" w:type="auto"/>
            <w:vAlign w:val="center"/>
          </w:tcPr>
          <w:p w:rsidR="00BA6265" w:rsidRPr="00244C91" w:rsidRDefault="00BA6265" w:rsidP="006856D9">
            <w:pPr>
              <w:keepNext/>
              <w:spacing w:before="60" w:after="60"/>
              <w:rPr>
                <w:color w:val="000000"/>
              </w:rPr>
            </w:pPr>
            <w:r w:rsidRPr="00244C91">
              <w:rPr>
                <w:color w:val="000000"/>
              </w:rPr>
              <w:t>Diabetic Medicine</w:t>
            </w:r>
            <w:r>
              <w:rPr>
                <w:color w:val="000000"/>
              </w:rPr>
              <w:t>,</w:t>
            </w:r>
            <w:r w:rsidRPr="00244C91">
              <w:rPr>
                <w:color w:val="000000"/>
              </w:rPr>
              <w:t xml:space="preserve"> 2011 28:4 (455-463) </w:t>
            </w:r>
          </w:p>
        </w:tc>
        <w:tc>
          <w:tcPr>
            <w:tcW w:w="0" w:type="auto"/>
            <w:vAlign w:val="center"/>
          </w:tcPr>
          <w:p w:rsidR="00BA6265" w:rsidRPr="00244C91" w:rsidRDefault="00BA6265" w:rsidP="006856D9">
            <w:pPr>
              <w:keepNext/>
              <w:spacing w:before="60" w:after="60"/>
              <w:rPr>
                <w:color w:val="000000"/>
              </w:rPr>
            </w:pPr>
            <w:r w:rsidRPr="00244C91">
              <w:rPr>
                <w:color w:val="000000"/>
              </w:rPr>
              <w:t>22 Studies - 12 studies used SMS + Internet. 8 Studies SMS alone (interactive + patient report of BSLs). 2 studies compared mobile phone verses web based interaction.</w:t>
            </w:r>
          </w:p>
        </w:tc>
        <w:tc>
          <w:tcPr>
            <w:tcW w:w="0" w:type="auto"/>
            <w:vAlign w:val="center"/>
          </w:tcPr>
          <w:p w:rsidR="00BA6265" w:rsidRPr="00244C91" w:rsidRDefault="00BA6265" w:rsidP="006856D9">
            <w:pPr>
              <w:keepNext/>
              <w:spacing w:before="60" w:after="60"/>
              <w:rPr>
                <w:color w:val="000000"/>
              </w:rPr>
            </w:pPr>
            <w:r w:rsidRPr="00244C91">
              <w:rPr>
                <w:color w:val="000000"/>
              </w:rPr>
              <w:t xml:space="preserve">Interventions very </w:t>
            </w:r>
            <w:proofErr w:type="spellStart"/>
            <w:r w:rsidRPr="00244C91">
              <w:rPr>
                <w:color w:val="000000"/>
              </w:rPr>
              <w:t>hetrogenous</w:t>
            </w:r>
            <w:proofErr w:type="spellEnd"/>
            <w:r w:rsidRPr="00244C91">
              <w:rPr>
                <w:color w:val="000000"/>
              </w:rPr>
              <w:t>. Included Type 1 and Type 2 diabetic patients.</w:t>
            </w:r>
          </w:p>
        </w:tc>
      </w:tr>
      <w:tr w:rsidR="00BA6265" w:rsidRPr="00244C91" w:rsidTr="00B426AB">
        <w:trPr>
          <w:trHeight w:val="302"/>
        </w:trPr>
        <w:tc>
          <w:tcPr>
            <w:tcW w:w="0" w:type="auto"/>
            <w:vAlign w:val="center"/>
          </w:tcPr>
          <w:p w:rsidR="00BA6265" w:rsidRPr="00244C91" w:rsidRDefault="00BA6265" w:rsidP="006856D9">
            <w:pPr>
              <w:keepNext/>
              <w:spacing w:before="60" w:after="60"/>
              <w:rPr>
                <w:color w:val="000000"/>
                <w:lang w:val="nl-NL"/>
              </w:rPr>
            </w:pPr>
            <w:r w:rsidRPr="00F17749">
              <w:rPr>
                <w:color w:val="000000"/>
                <w:lang w:val="nl-NL"/>
              </w:rPr>
              <w:t>Liew SM, Tong SF, Lee VK, Ng CJ, Leong KC, Teng CL.</w:t>
            </w:r>
          </w:p>
        </w:tc>
        <w:tc>
          <w:tcPr>
            <w:tcW w:w="0" w:type="auto"/>
            <w:vAlign w:val="center"/>
          </w:tcPr>
          <w:p w:rsidR="00BA6265" w:rsidRPr="00244C91" w:rsidRDefault="00BA6265" w:rsidP="006856D9">
            <w:pPr>
              <w:keepNext/>
              <w:spacing w:before="60" w:after="60"/>
              <w:jc w:val="right"/>
              <w:rPr>
                <w:color w:val="000000"/>
              </w:rPr>
            </w:pPr>
            <w:r w:rsidRPr="00244C91">
              <w:rPr>
                <w:color w:val="000000"/>
              </w:rPr>
              <w:t>2009</w:t>
            </w:r>
          </w:p>
        </w:tc>
        <w:tc>
          <w:tcPr>
            <w:tcW w:w="0" w:type="auto"/>
            <w:vAlign w:val="center"/>
          </w:tcPr>
          <w:p w:rsidR="00BA6265" w:rsidRPr="00244C91" w:rsidRDefault="00BA6265" w:rsidP="006856D9">
            <w:pPr>
              <w:keepNext/>
              <w:spacing w:before="60" w:after="60"/>
              <w:rPr>
                <w:color w:val="000000"/>
              </w:rPr>
            </w:pPr>
            <w:r w:rsidRPr="00244C91">
              <w:rPr>
                <w:color w:val="000000"/>
              </w:rPr>
              <w:t>Text messaging reminders to reduce non-attendance in chronic disease follow-up: a clinical trial.</w:t>
            </w:r>
          </w:p>
        </w:tc>
        <w:tc>
          <w:tcPr>
            <w:tcW w:w="0" w:type="auto"/>
            <w:vAlign w:val="center"/>
          </w:tcPr>
          <w:p w:rsidR="00BA6265" w:rsidRPr="00244C91" w:rsidRDefault="00BA6265" w:rsidP="006856D9">
            <w:pPr>
              <w:keepNext/>
              <w:spacing w:before="60" w:after="60"/>
              <w:rPr>
                <w:color w:val="000000"/>
                <w:lang w:val="nl-NL"/>
              </w:rPr>
            </w:pPr>
            <w:r w:rsidRPr="00F17749">
              <w:rPr>
                <w:color w:val="000000"/>
                <w:lang w:val="nl-NL"/>
              </w:rPr>
              <w:t>British Journal of General Practice</w:t>
            </w:r>
            <w:r>
              <w:rPr>
                <w:color w:val="000000"/>
                <w:lang w:val="nl-NL"/>
              </w:rPr>
              <w:t xml:space="preserve">, </w:t>
            </w:r>
            <w:r w:rsidRPr="00244C91">
              <w:rPr>
                <w:color w:val="000000"/>
                <w:lang w:val="nl-NL"/>
              </w:rPr>
              <w:t xml:space="preserve"> 2009 Dec;59(569):916-20.</w:t>
            </w:r>
          </w:p>
        </w:tc>
        <w:tc>
          <w:tcPr>
            <w:tcW w:w="0" w:type="auto"/>
            <w:vAlign w:val="center"/>
          </w:tcPr>
          <w:p w:rsidR="00BA6265" w:rsidRPr="00244C91" w:rsidRDefault="00BA6265" w:rsidP="006856D9">
            <w:pPr>
              <w:keepNext/>
              <w:spacing w:before="60" w:after="60"/>
              <w:rPr>
                <w:color w:val="000000"/>
              </w:rPr>
            </w:pPr>
            <w:r w:rsidRPr="00244C91">
              <w:rPr>
                <w:color w:val="000000"/>
              </w:rPr>
              <w:t>Randomised to 3 groups, i) text messaging reminder, ii) telephone reminder, iii) control. Reminder was sent 24-48 hours prior to the appointment.</w:t>
            </w:r>
          </w:p>
        </w:tc>
        <w:tc>
          <w:tcPr>
            <w:tcW w:w="0" w:type="auto"/>
            <w:vAlign w:val="center"/>
          </w:tcPr>
          <w:p w:rsidR="00BA6265" w:rsidRPr="00244C91" w:rsidRDefault="00BA6265" w:rsidP="006856D9">
            <w:pPr>
              <w:keepNext/>
              <w:spacing w:before="60" w:after="60"/>
              <w:rPr>
                <w:color w:val="000000"/>
              </w:rPr>
            </w:pPr>
            <w:r w:rsidRPr="00244C91">
              <w:rPr>
                <w:color w:val="000000"/>
              </w:rPr>
              <w:t>Focus on attendance for single appointment.</w:t>
            </w:r>
          </w:p>
        </w:tc>
      </w:tr>
      <w:tr w:rsidR="00BA6265" w:rsidRPr="00244C91" w:rsidTr="00B426AB">
        <w:trPr>
          <w:trHeight w:val="1070"/>
        </w:trPr>
        <w:tc>
          <w:tcPr>
            <w:tcW w:w="0" w:type="auto"/>
            <w:vAlign w:val="center"/>
          </w:tcPr>
          <w:p w:rsidR="00BA6265" w:rsidRPr="00244C91" w:rsidRDefault="00BA6265" w:rsidP="006856D9">
            <w:pPr>
              <w:keepNext/>
              <w:spacing w:before="60" w:after="60"/>
              <w:rPr>
                <w:color w:val="000000"/>
                <w:lang w:val="it-IT"/>
              </w:rPr>
            </w:pPr>
            <w:r w:rsidRPr="00F17749">
              <w:rPr>
                <w:color w:val="000000"/>
                <w:lang w:val="it-IT"/>
              </w:rPr>
              <w:t>Miloh T, Annunziato R, Arnon R, Warshaw J, Parkar S, Suchy FJ, Iyer K, Kerkar N.</w:t>
            </w:r>
          </w:p>
        </w:tc>
        <w:tc>
          <w:tcPr>
            <w:tcW w:w="0" w:type="auto"/>
            <w:vAlign w:val="center"/>
          </w:tcPr>
          <w:p w:rsidR="00BA6265" w:rsidRPr="00244C91" w:rsidRDefault="00BA6265" w:rsidP="006856D9">
            <w:pPr>
              <w:keepNext/>
              <w:spacing w:before="60" w:after="60"/>
              <w:jc w:val="right"/>
              <w:rPr>
                <w:color w:val="000000"/>
              </w:rPr>
            </w:pPr>
            <w:r w:rsidRPr="00244C91">
              <w:rPr>
                <w:color w:val="000000"/>
              </w:rPr>
              <w:t>2009</w:t>
            </w:r>
          </w:p>
        </w:tc>
        <w:tc>
          <w:tcPr>
            <w:tcW w:w="0" w:type="auto"/>
            <w:vAlign w:val="center"/>
          </w:tcPr>
          <w:p w:rsidR="00BA6265" w:rsidRPr="00244C91" w:rsidRDefault="00BA6265" w:rsidP="006856D9">
            <w:pPr>
              <w:keepNext/>
              <w:spacing w:before="60" w:after="60"/>
              <w:rPr>
                <w:color w:val="000000"/>
              </w:rPr>
            </w:pPr>
            <w:r w:rsidRPr="00244C91">
              <w:rPr>
                <w:color w:val="000000"/>
              </w:rPr>
              <w:t xml:space="preserve">Improved Adherence and Outcomes for </w:t>
            </w:r>
            <w:proofErr w:type="spellStart"/>
            <w:r w:rsidRPr="00244C91">
              <w:rPr>
                <w:color w:val="000000"/>
              </w:rPr>
              <w:t>Pediatric</w:t>
            </w:r>
            <w:proofErr w:type="spellEnd"/>
            <w:r w:rsidRPr="00244C91">
              <w:rPr>
                <w:color w:val="000000"/>
              </w:rPr>
              <w:t xml:space="preserve"> Liver Transplant Recipients by Using Text </w:t>
            </w:r>
            <w:r w:rsidRPr="00244C91">
              <w:rPr>
                <w:color w:val="000000"/>
              </w:rPr>
              <w:lastRenderedPageBreak/>
              <w:t>Messaging</w:t>
            </w:r>
          </w:p>
        </w:tc>
        <w:tc>
          <w:tcPr>
            <w:tcW w:w="0" w:type="auto"/>
            <w:vAlign w:val="center"/>
          </w:tcPr>
          <w:p w:rsidR="00BA6265" w:rsidRPr="00244C91" w:rsidRDefault="00BA6265" w:rsidP="006856D9">
            <w:pPr>
              <w:keepNext/>
              <w:spacing w:before="60" w:after="60"/>
              <w:rPr>
                <w:color w:val="000000"/>
              </w:rPr>
            </w:pPr>
            <w:proofErr w:type="spellStart"/>
            <w:r w:rsidRPr="00244C91">
              <w:rPr>
                <w:color w:val="000000"/>
              </w:rPr>
              <w:lastRenderedPageBreak/>
              <w:t>Pediatrics</w:t>
            </w:r>
            <w:proofErr w:type="spellEnd"/>
            <w:r>
              <w:rPr>
                <w:color w:val="000000"/>
              </w:rPr>
              <w:t>, 2009 Nov;</w:t>
            </w:r>
            <w:r>
              <w:t xml:space="preserve"> </w:t>
            </w:r>
            <w:r w:rsidRPr="00F17749">
              <w:rPr>
                <w:color w:val="000000"/>
              </w:rPr>
              <w:t>124(5):e844-50</w:t>
            </w:r>
          </w:p>
        </w:tc>
        <w:tc>
          <w:tcPr>
            <w:tcW w:w="0" w:type="auto"/>
            <w:vAlign w:val="center"/>
          </w:tcPr>
          <w:p w:rsidR="00BA6265" w:rsidRPr="00244C91" w:rsidRDefault="00BA6265" w:rsidP="006856D9">
            <w:pPr>
              <w:keepNext/>
              <w:spacing w:before="60" w:after="60"/>
              <w:rPr>
                <w:color w:val="000000"/>
              </w:rPr>
            </w:pPr>
            <w:r w:rsidRPr="00244C91">
              <w:rPr>
                <w:color w:val="000000"/>
              </w:rPr>
              <w:t>Patients’ records reviewed comparing the year before and year after the intervention.</w:t>
            </w:r>
          </w:p>
        </w:tc>
        <w:tc>
          <w:tcPr>
            <w:tcW w:w="0" w:type="auto"/>
            <w:vAlign w:val="center"/>
          </w:tcPr>
          <w:p w:rsidR="00BA6265" w:rsidRPr="00244C91" w:rsidRDefault="00BA6265" w:rsidP="006856D9">
            <w:pPr>
              <w:keepNext/>
              <w:spacing w:before="60" w:after="60"/>
              <w:rPr>
                <w:color w:val="000000"/>
              </w:rPr>
            </w:pPr>
            <w:r w:rsidRPr="00244C91">
              <w:rPr>
                <w:color w:val="000000"/>
              </w:rPr>
              <w:t xml:space="preserve">Not RCT. </w:t>
            </w:r>
          </w:p>
        </w:tc>
      </w:tr>
      <w:tr w:rsidR="00BA6265" w:rsidRPr="00244C91" w:rsidTr="00B426AB">
        <w:trPr>
          <w:trHeight w:val="1021"/>
        </w:trPr>
        <w:tc>
          <w:tcPr>
            <w:tcW w:w="0" w:type="auto"/>
            <w:vAlign w:val="center"/>
          </w:tcPr>
          <w:p w:rsidR="00BA6265" w:rsidRPr="00244C91" w:rsidRDefault="00BA6265" w:rsidP="006856D9">
            <w:pPr>
              <w:keepNext/>
              <w:spacing w:before="60" w:after="60"/>
              <w:rPr>
                <w:lang w:val="nl-NL"/>
              </w:rPr>
            </w:pPr>
            <w:r w:rsidRPr="00F17749">
              <w:rPr>
                <w:lang w:val="nl-NL"/>
              </w:rPr>
              <w:lastRenderedPageBreak/>
              <w:t>Nelson TM, Berg JH, Bell JF, Leggott PJ, Seminario AL.</w:t>
            </w:r>
          </w:p>
        </w:tc>
        <w:tc>
          <w:tcPr>
            <w:tcW w:w="0" w:type="auto"/>
            <w:vAlign w:val="center"/>
          </w:tcPr>
          <w:p w:rsidR="00BA6265" w:rsidRPr="00244C91" w:rsidRDefault="00BA6265" w:rsidP="006856D9">
            <w:pPr>
              <w:keepNext/>
              <w:spacing w:before="60" w:after="60"/>
              <w:jc w:val="right"/>
              <w:rPr>
                <w:color w:val="000000"/>
              </w:rPr>
            </w:pPr>
            <w:r w:rsidRPr="00244C91">
              <w:rPr>
                <w:color w:val="000000"/>
              </w:rPr>
              <w:t>2011</w:t>
            </w:r>
          </w:p>
        </w:tc>
        <w:tc>
          <w:tcPr>
            <w:tcW w:w="0" w:type="auto"/>
            <w:vAlign w:val="center"/>
          </w:tcPr>
          <w:p w:rsidR="00BA6265" w:rsidRPr="00244C91" w:rsidRDefault="00BA6265" w:rsidP="006856D9">
            <w:pPr>
              <w:keepNext/>
              <w:spacing w:before="60" w:after="60"/>
              <w:rPr>
                <w:color w:val="000000"/>
              </w:rPr>
            </w:pPr>
            <w:r w:rsidRPr="00244C91">
              <w:rPr>
                <w:color w:val="000000"/>
              </w:rPr>
              <w:t xml:space="preserve">Assessing the effectiveness of text messages as appointment reminders in a </w:t>
            </w:r>
            <w:proofErr w:type="spellStart"/>
            <w:r w:rsidRPr="00244C91">
              <w:rPr>
                <w:color w:val="000000"/>
              </w:rPr>
              <w:t>pediatric</w:t>
            </w:r>
            <w:proofErr w:type="spellEnd"/>
            <w:r w:rsidRPr="00244C91">
              <w:rPr>
                <w:color w:val="000000"/>
              </w:rPr>
              <w:t xml:space="preserve"> dental setting</w:t>
            </w:r>
          </w:p>
        </w:tc>
        <w:tc>
          <w:tcPr>
            <w:tcW w:w="0" w:type="auto"/>
            <w:vAlign w:val="center"/>
          </w:tcPr>
          <w:p w:rsidR="00BA6265" w:rsidRPr="00244C91" w:rsidRDefault="00BA6265" w:rsidP="006856D9">
            <w:pPr>
              <w:keepNext/>
              <w:spacing w:before="60" w:after="60"/>
              <w:rPr>
                <w:color w:val="000000"/>
              </w:rPr>
            </w:pPr>
            <w:r w:rsidRPr="00F17749">
              <w:rPr>
                <w:color w:val="000000"/>
              </w:rPr>
              <w:t>The Journal of the American Dental Association</w:t>
            </w:r>
            <w:r>
              <w:rPr>
                <w:color w:val="000000"/>
              </w:rPr>
              <w:t>,</w:t>
            </w:r>
            <w:r w:rsidRPr="00244C91">
              <w:rPr>
                <w:color w:val="000000"/>
              </w:rPr>
              <w:t xml:space="preserve"> 2011 Apr; 142 (4): 397-405</w:t>
            </w:r>
          </w:p>
        </w:tc>
        <w:tc>
          <w:tcPr>
            <w:tcW w:w="0" w:type="auto"/>
            <w:vAlign w:val="center"/>
          </w:tcPr>
          <w:p w:rsidR="00BA6265" w:rsidRPr="00244C91" w:rsidRDefault="00BA6265" w:rsidP="006856D9">
            <w:pPr>
              <w:keepNext/>
              <w:spacing w:before="60" w:after="60"/>
              <w:rPr>
                <w:color w:val="000000"/>
              </w:rPr>
            </w:pPr>
            <w:r w:rsidRPr="00244C91">
              <w:rPr>
                <w:color w:val="000000"/>
              </w:rPr>
              <w:t>Randomly assigned to 2 groups i)  SMS reminder, ii) voice message (control)</w:t>
            </w:r>
          </w:p>
        </w:tc>
        <w:tc>
          <w:tcPr>
            <w:tcW w:w="0" w:type="auto"/>
            <w:vAlign w:val="center"/>
          </w:tcPr>
          <w:p w:rsidR="00BA6265" w:rsidRPr="00244C91" w:rsidRDefault="00BA6265" w:rsidP="006856D9">
            <w:pPr>
              <w:keepNext/>
              <w:spacing w:before="60" w:after="60"/>
              <w:rPr>
                <w:color w:val="000000"/>
              </w:rPr>
            </w:pPr>
            <w:r w:rsidRPr="00244C91">
              <w:rPr>
                <w:color w:val="000000"/>
              </w:rPr>
              <w:t>Focus on attendance for one appointment.</w:t>
            </w:r>
          </w:p>
        </w:tc>
      </w:tr>
      <w:tr w:rsidR="00BA6265" w:rsidRPr="00244C91" w:rsidTr="00B426AB">
        <w:trPr>
          <w:trHeight w:val="1182"/>
        </w:trPr>
        <w:tc>
          <w:tcPr>
            <w:tcW w:w="0" w:type="auto"/>
            <w:vAlign w:val="center"/>
          </w:tcPr>
          <w:p w:rsidR="00BA6265" w:rsidRPr="00244C91" w:rsidRDefault="00BA6265" w:rsidP="006856D9">
            <w:pPr>
              <w:keepNext/>
              <w:spacing w:before="60" w:after="60"/>
              <w:rPr>
                <w:lang w:val="nl-NL"/>
              </w:rPr>
            </w:pPr>
            <w:r w:rsidRPr="00F17749">
              <w:rPr>
                <w:lang w:val="nl-NL"/>
              </w:rPr>
              <w:t>Perron NJ, Dao MD, Kossovsky MP, Miserez V, Chuard C, Calmy A, Gaspoz JM.</w:t>
            </w:r>
          </w:p>
        </w:tc>
        <w:tc>
          <w:tcPr>
            <w:tcW w:w="0" w:type="auto"/>
            <w:vAlign w:val="center"/>
          </w:tcPr>
          <w:p w:rsidR="00BA6265" w:rsidRPr="00244C91" w:rsidRDefault="00BA6265" w:rsidP="006856D9">
            <w:pPr>
              <w:keepNext/>
              <w:spacing w:before="60" w:after="60"/>
              <w:jc w:val="right"/>
              <w:rPr>
                <w:color w:val="000000"/>
              </w:rPr>
            </w:pPr>
            <w:r w:rsidRPr="00244C91">
              <w:rPr>
                <w:color w:val="000000"/>
              </w:rPr>
              <w:t>2010</w:t>
            </w:r>
          </w:p>
        </w:tc>
        <w:tc>
          <w:tcPr>
            <w:tcW w:w="0" w:type="auto"/>
            <w:vAlign w:val="center"/>
          </w:tcPr>
          <w:p w:rsidR="00BA6265" w:rsidRPr="00244C91" w:rsidRDefault="00BA6265" w:rsidP="006856D9">
            <w:pPr>
              <w:keepNext/>
              <w:spacing w:before="60" w:after="60"/>
              <w:rPr>
                <w:color w:val="000000"/>
              </w:rPr>
            </w:pPr>
            <w:r w:rsidRPr="00244C91">
              <w:rPr>
                <w:color w:val="000000"/>
              </w:rPr>
              <w:t>Reduction of missed appointments at an urban primary care clinic: a randomised controlled study.</w:t>
            </w:r>
          </w:p>
        </w:tc>
        <w:tc>
          <w:tcPr>
            <w:tcW w:w="0" w:type="auto"/>
            <w:vAlign w:val="center"/>
          </w:tcPr>
          <w:p w:rsidR="00BA6265" w:rsidRPr="00244C91" w:rsidRDefault="00BA6265" w:rsidP="006856D9">
            <w:pPr>
              <w:keepNext/>
              <w:spacing w:before="60" w:after="60"/>
              <w:rPr>
                <w:color w:val="000000"/>
              </w:rPr>
            </w:pPr>
            <w:r w:rsidRPr="00F17749">
              <w:rPr>
                <w:color w:val="000000"/>
              </w:rPr>
              <w:t>BMC Family Practice</w:t>
            </w:r>
            <w:r>
              <w:rPr>
                <w:color w:val="000000"/>
              </w:rPr>
              <w:t xml:space="preserve">, </w:t>
            </w:r>
            <w:r w:rsidRPr="00244C91">
              <w:rPr>
                <w:color w:val="000000"/>
              </w:rPr>
              <w:t>2010 Oct 25;11:79.</w:t>
            </w:r>
          </w:p>
        </w:tc>
        <w:tc>
          <w:tcPr>
            <w:tcW w:w="0" w:type="auto"/>
            <w:vAlign w:val="center"/>
          </w:tcPr>
          <w:p w:rsidR="00BA6265" w:rsidRPr="00244C91" w:rsidRDefault="00BA6265" w:rsidP="006856D9">
            <w:pPr>
              <w:keepNext/>
              <w:spacing w:before="60" w:after="60"/>
              <w:rPr>
                <w:color w:val="000000"/>
              </w:rPr>
            </w:pPr>
            <w:r w:rsidRPr="00244C91">
              <w:rPr>
                <w:color w:val="000000"/>
              </w:rPr>
              <w:t>Randomised to 2 groups. 1. Sequential intervention starting 48 hours prior to appointment. Sequence = i) phone call (fixed or mobile); ii) SMS if no response after 3 attempts if patient had mobile phone; iii) if no response postal reminder. 2. Control - no intervention. 3 month intervention time period.</w:t>
            </w:r>
          </w:p>
        </w:tc>
        <w:tc>
          <w:tcPr>
            <w:tcW w:w="0" w:type="auto"/>
            <w:vAlign w:val="center"/>
          </w:tcPr>
          <w:p w:rsidR="00BA6265" w:rsidRPr="00244C91" w:rsidRDefault="00BA6265" w:rsidP="006856D9">
            <w:pPr>
              <w:keepNext/>
              <w:spacing w:before="60" w:after="60"/>
              <w:rPr>
                <w:color w:val="000000"/>
              </w:rPr>
            </w:pPr>
            <w:r w:rsidRPr="00244C91">
              <w:rPr>
                <w:color w:val="000000"/>
              </w:rPr>
              <w:t>Focus on attendance for one appointment.</w:t>
            </w:r>
          </w:p>
        </w:tc>
      </w:tr>
      <w:tr w:rsidR="00BA6265" w:rsidRPr="00244C91" w:rsidTr="00B426AB">
        <w:trPr>
          <w:trHeight w:val="135"/>
        </w:trPr>
        <w:tc>
          <w:tcPr>
            <w:tcW w:w="0" w:type="auto"/>
            <w:vAlign w:val="center"/>
          </w:tcPr>
          <w:p w:rsidR="00BA6265" w:rsidRPr="00244C91" w:rsidRDefault="00BA6265" w:rsidP="006856D9">
            <w:pPr>
              <w:keepNext/>
              <w:spacing w:before="60" w:after="60"/>
              <w:rPr>
                <w:color w:val="000000"/>
              </w:rPr>
            </w:pPr>
            <w:r w:rsidRPr="00244C91">
              <w:rPr>
                <w:color w:val="000000"/>
              </w:rPr>
              <w:t xml:space="preserve">Prasad S, </w:t>
            </w:r>
            <w:proofErr w:type="spellStart"/>
            <w:r w:rsidRPr="00244C91">
              <w:rPr>
                <w:color w:val="000000"/>
              </w:rPr>
              <w:t>Anand</w:t>
            </w:r>
            <w:proofErr w:type="spellEnd"/>
            <w:r w:rsidRPr="00244C91">
              <w:rPr>
                <w:color w:val="000000"/>
              </w:rPr>
              <w:t xml:space="preserve"> R.</w:t>
            </w:r>
          </w:p>
        </w:tc>
        <w:tc>
          <w:tcPr>
            <w:tcW w:w="0" w:type="auto"/>
            <w:vAlign w:val="center"/>
          </w:tcPr>
          <w:p w:rsidR="00BA6265" w:rsidRPr="00244C91" w:rsidRDefault="00BA6265" w:rsidP="006856D9">
            <w:pPr>
              <w:keepNext/>
              <w:spacing w:before="60" w:after="60"/>
              <w:jc w:val="right"/>
              <w:rPr>
                <w:color w:val="000000"/>
              </w:rPr>
            </w:pPr>
            <w:r w:rsidRPr="00244C91">
              <w:rPr>
                <w:color w:val="000000"/>
              </w:rPr>
              <w:t>2012</w:t>
            </w:r>
          </w:p>
        </w:tc>
        <w:tc>
          <w:tcPr>
            <w:tcW w:w="0" w:type="auto"/>
            <w:vAlign w:val="center"/>
          </w:tcPr>
          <w:p w:rsidR="00BA6265" w:rsidRPr="00244C91" w:rsidRDefault="00BA6265" w:rsidP="006856D9">
            <w:pPr>
              <w:keepNext/>
              <w:spacing w:before="60" w:after="60"/>
              <w:rPr>
                <w:color w:val="000000"/>
              </w:rPr>
            </w:pPr>
            <w:r w:rsidRPr="00244C91">
              <w:rPr>
                <w:color w:val="000000"/>
              </w:rPr>
              <w:t>Use of mobile telephone short message service as a reminder: the effect on patient attendance.</w:t>
            </w:r>
          </w:p>
        </w:tc>
        <w:tc>
          <w:tcPr>
            <w:tcW w:w="0" w:type="auto"/>
            <w:vAlign w:val="center"/>
          </w:tcPr>
          <w:p w:rsidR="00BA6265" w:rsidRPr="00244C91" w:rsidRDefault="00BA6265" w:rsidP="006856D9">
            <w:pPr>
              <w:keepNext/>
              <w:spacing w:before="60" w:after="60"/>
            </w:pPr>
            <w:r w:rsidRPr="00F17749">
              <w:t>International Journal of Dentistry</w:t>
            </w:r>
            <w:r>
              <w:t xml:space="preserve">, </w:t>
            </w:r>
            <w:r w:rsidRPr="00244C91">
              <w:t>2012 Feb; 62(1):21-26.</w:t>
            </w:r>
          </w:p>
        </w:tc>
        <w:tc>
          <w:tcPr>
            <w:tcW w:w="0" w:type="auto"/>
            <w:vAlign w:val="center"/>
          </w:tcPr>
          <w:p w:rsidR="00BA6265" w:rsidRPr="00244C91" w:rsidRDefault="00BA6265" w:rsidP="006856D9">
            <w:pPr>
              <w:keepNext/>
              <w:spacing w:before="60" w:after="60"/>
              <w:rPr>
                <w:color w:val="000000"/>
              </w:rPr>
            </w:pPr>
            <w:r w:rsidRPr="00244C91">
              <w:rPr>
                <w:color w:val="000000"/>
              </w:rPr>
              <w:t>Randomised to SMS reminder or Control. Reminder sent 24 h prior to appointment.</w:t>
            </w:r>
          </w:p>
        </w:tc>
        <w:tc>
          <w:tcPr>
            <w:tcW w:w="0" w:type="auto"/>
            <w:vAlign w:val="center"/>
          </w:tcPr>
          <w:p w:rsidR="00BA6265" w:rsidRPr="00244C91" w:rsidRDefault="00BA6265" w:rsidP="006856D9">
            <w:pPr>
              <w:keepNext/>
              <w:spacing w:before="60" w:after="60"/>
              <w:rPr>
                <w:color w:val="000000"/>
              </w:rPr>
            </w:pPr>
            <w:r w:rsidRPr="00244C91">
              <w:rPr>
                <w:color w:val="000000"/>
              </w:rPr>
              <w:t>Focus on attendance for one appointment.</w:t>
            </w:r>
          </w:p>
        </w:tc>
      </w:tr>
      <w:tr w:rsidR="00BA6265" w:rsidRPr="00244C91" w:rsidTr="00B426AB">
        <w:trPr>
          <w:trHeight w:val="720"/>
        </w:trPr>
        <w:tc>
          <w:tcPr>
            <w:tcW w:w="0" w:type="auto"/>
            <w:vAlign w:val="center"/>
          </w:tcPr>
          <w:p w:rsidR="00BA6265" w:rsidRPr="00244C91" w:rsidRDefault="00BA6265" w:rsidP="006856D9">
            <w:pPr>
              <w:keepNext/>
              <w:spacing w:before="60" w:after="60"/>
            </w:pPr>
            <w:r w:rsidRPr="00F17749">
              <w:t xml:space="preserve">Taylor NF, </w:t>
            </w:r>
            <w:proofErr w:type="spellStart"/>
            <w:r w:rsidRPr="00F17749">
              <w:t>Bottrell</w:t>
            </w:r>
            <w:proofErr w:type="spellEnd"/>
            <w:r w:rsidRPr="00F17749">
              <w:t xml:space="preserve"> J, Lawler K, Benjamin D.</w:t>
            </w:r>
          </w:p>
        </w:tc>
        <w:tc>
          <w:tcPr>
            <w:tcW w:w="0" w:type="auto"/>
            <w:vAlign w:val="center"/>
          </w:tcPr>
          <w:p w:rsidR="00BA6265" w:rsidRPr="00244C91" w:rsidRDefault="00BA6265" w:rsidP="006856D9">
            <w:pPr>
              <w:keepNext/>
              <w:spacing w:before="60" w:after="60"/>
              <w:jc w:val="right"/>
              <w:rPr>
                <w:color w:val="000000"/>
              </w:rPr>
            </w:pPr>
            <w:r w:rsidRPr="00244C91">
              <w:rPr>
                <w:color w:val="000000"/>
              </w:rPr>
              <w:t>2012</w:t>
            </w:r>
          </w:p>
        </w:tc>
        <w:tc>
          <w:tcPr>
            <w:tcW w:w="0" w:type="auto"/>
            <w:vAlign w:val="center"/>
          </w:tcPr>
          <w:p w:rsidR="00BA6265" w:rsidRPr="00244C91" w:rsidRDefault="00BA6265" w:rsidP="006856D9">
            <w:pPr>
              <w:keepNext/>
              <w:spacing w:before="60" w:after="60"/>
              <w:rPr>
                <w:color w:val="000000"/>
              </w:rPr>
            </w:pPr>
            <w:r w:rsidRPr="00244C91">
              <w:rPr>
                <w:color w:val="000000"/>
              </w:rPr>
              <w:t xml:space="preserve">Mobile telephone short message service reminders can reduce nonattendance in physical therapy outpatient clinics: a randomized controlled </w:t>
            </w:r>
            <w:r w:rsidRPr="00244C91">
              <w:rPr>
                <w:color w:val="000000"/>
              </w:rPr>
              <w:lastRenderedPageBreak/>
              <w:t>trial.</w:t>
            </w:r>
          </w:p>
        </w:tc>
        <w:tc>
          <w:tcPr>
            <w:tcW w:w="0" w:type="auto"/>
            <w:vAlign w:val="center"/>
          </w:tcPr>
          <w:p w:rsidR="00BA6265" w:rsidRPr="00244C91" w:rsidRDefault="00BA6265" w:rsidP="006856D9">
            <w:pPr>
              <w:keepNext/>
              <w:spacing w:before="60" w:after="60"/>
              <w:rPr>
                <w:color w:val="000000"/>
              </w:rPr>
            </w:pPr>
            <w:r w:rsidRPr="00F17749">
              <w:rPr>
                <w:color w:val="000000"/>
              </w:rPr>
              <w:lastRenderedPageBreak/>
              <w:t>Archives of Physical Medicine and Rehabilitation</w:t>
            </w:r>
            <w:r>
              <w:rPr>
                <w:color w:val="000000"/>
              </w:rPr>
              <w:t>,</w:t>
            </w:r>
            <w:r w:rsidRPr="00244C91">
              <w:rPr>
                <w:color w:val="000000"/>
              </w:rPr>
              <w:t xml:space="preserve"> Jan;93(1) :21-6</w:t>
            </w:r>
          </w:p>
        </w:tc>
        <w:tc>
          <w:tcPr>
            <w:tcW w:w="0" w:type="auto"/>
            <w:vAlign w:val="center"/>
          </w:tcPr>
          <w:p w:rsidR="00BA6265" w:rsidRPr="00244C91" w:rsidRDefault="00BA6265" w:rsidP="006856D9">
            <w:pPr>
              <w:keepNext/>
              <w:spacing w:before="60" w:after="60"/>
              <w:rPr>
                <w:color w:val="000000"/>
              </w:rPr>
            </w:pPr>
            <w:r w:rsidRPr="00244C91">
              <w:rPr>
                <w:color w:val="000000"/>
              </w:rPr>
              <w:t xml:space="preserve">Randomised to SMS reminder or Control. SMS reminder sent 2-days before appointment if the appointment was made more than 3 days before the appointment or the day before the appointment if the </w:t>
            </w:r>
            <w:r w:rsidRPr="00244C91">
              <w:rPr>
                <w:color w:val="000000"/>
              </w:rPr>
              <w:lastRenderedPageBreak/>
              <w:t xml:space="preserve">appointment was within 2 days. </w:t>
            </w:r>
          </w:p>
        </w:tc>
        <w:tc>
          <w:tcPr>
            <w:tcW w:w="0" w:type="auto"/>
            <w:vAlign w:val="center"/>
          </w:tcPr>
          <w:p w:rsidR="00BA6265" w:rsidRPr="00244C91" w:rsidRDefault="00BA6265" w:rsidP="006856D9">
            <w:pPr>
              <w:keepNext/>
              <w:spacing w:before="60" w:after="60"/>
              <w:rPr>
                <w:color w:val="000000"/>
              </w:rPr>
            </w:pPr>
            <w:r w:rsidRPr="00244C91">
              <w:rPr>
                <w:color w:val="000000"/>
              </w:rPr>
              <w:lastRenderedPageBreak/>
              <w:t>Focus on attendance for one appointment.</w:t>
            </w:r>
          </w:p>
        </w:tc>
      </w:tr>
      <w:tr w:rsidR="00BA6265" w:rsidRPr="00244C91" w:rsidTr="00B426AB">
        <w:trPr>
          <w:trHeight w:val="110"/>
        </w:trPr>
        <w:tc>
          <w:tcPr>
            <w:tcW w:w="0" w:type="auto"/>
            <w:vAlign w:val="center"/>
          </w:tcPr>
          <w:p w:rsidR="00BA6265" w:rsidRPr="00244C91" w:rsidRDefault="00BA6265" w:rsidP="006856D9">
            <w:pPr>
              <w:keepNext/>
              <w:spacing w:before="60" w:after="60"/>
              <w:rPr>
                <w:color w:val="000000"/>
              </w:rPr>
            </w:pPr>
            <w:r w:rsidRPr="00244C91">
              <w:rPr>
                <w:color w:val="000000"/>
              </w:rPr>
              <w:lastRenderedPageBreak/>
              <w:t xml:space="preserve">Wei J, </w:t>
            </w:r>
            <w:proofErr w:type="spellStart"/>
            <w:r w:rsidRPr="00244C91">
              <w:rPr>
                <w:color w:val="000000"/>
              </w:rPr>
              <w:t>Hollin</w:t>
            </w:r>
            <w:proofErr w:type="spellEnd"/>
            <w:r w:rsidRPr="00244C91">
              <w:rPr>
                <w:color w:val="000000"/>
              </w:rPr>
              <w:t xml:space="preserve"> I, </w:t>
            </w:r>
            <w:proofErr w:type="spellStart"/>
            <w:r w:rsidRPr="00244C91">
              <w:rPr>
                <w:color w:val="000000"/>
              </w:rPr>
              <w:t>Kachnowski</w:t>
            </w:r>
            <w:proofErr w:type="spellEnd"/>
            <w:r w:rsidRPr="00244C91">
              <w:rPr>
                <w:color w:val="000000"/>
              </w:rPr>
              <w:t xml:space="preserve"> S.</w:t>
            </w:r>
          </w:p>
        </w:tc>
        <w:tc>
          <w:tcPr>
            <w:tcW w:w="0" w:type="auto"/>
            <w:vAlign w:val="center"/>
          </w:tcPr>
          <w:p w:rsidR="00BA6265" w:rsidRPr="00244C91" w:rsidRDefault="00BA6265" w:rsidP="006856D9">
            <w:pPr>
              <w:keepNext/>
              <w:spacing w:before="60" w:after="60"/>
              <w:jc w:val="right"/>
              <w:rPr>
                <w:color w:val="000000"/>
              </w:rPr>
            </w:pPr>
            <w:r w:rsidRPr="00244C91">
              <w:rPr>
                <w:color w:val="000000"/>
              </w:rPr>
              <w:t>2011</w:t>
            </w:r>
          </w:p>
        </w:tc>
        <w:tc>
          <w:tcPr>
            <w:tcW w:w="0" w:type="auto"/>
            <w:vAlign w:val="center"/>
          </w:tcPr>
          <w:p w:rsidR="00BA6265" w:rsidRPr="00244C91" w:rsidRDefault="00BA6265" w:rsidP="006856D9">
            <w:pPr>
              <w:keepNext/>
              <w:spacing w:before="60" w:after="60"/>
              <w:rPr>
                <w:color w:val="000000"/>
              </w:rPr>
            </w:pPr>
            <w:r w:rsidRPr="00244C91">
              <w:rPr>
                <w:color w:val="000000"/>
              </w:rPr>
              <w:t xml:space="preserve">A review of the use of mobile phone text messaging in clinical and healthy behaviour interventions </w:t>
            </w:r>
          </w:p>
        </w:tc>
        <w:tc>
          <w:tcPr>
            <w:tcW w:w="0" w:type="auto"/>
            <w:vAlign w:val="center"/>
          </w:tcPr>
          <w:p w:rsidR="00BA6265" w:rsidRPr="00244C91" w:rsidRDefault="00BA6265" w:rsidP="006856D9">
            <w:pPr>
              <w:keepNext/>
              <w:spacing w:before="60" w:after="60"/>
              <w:rPr>
                <w:color w:val="000000"/>
              </w:rPr>
            </w:pPr>
            <w:r w:rsidRPr="00244C91">
              <w:rPr>
                <w:color w:val="000000"/>
              </w:rPr>
              <w:t xml:space="preserve">Journal Of Telemedicine And </w:t>
            </w:r>
            <w:proofErr w:type="spellStart"/>
            <w:r w:rsidRPr="00244C91">
              <w:rPr>
                <w:color w:val="000000"/>
              </w:rPr>
              <w:t>Telecare</w:t>
            </w:r>
            <w:proofErr w:type="spellEnd"/>
            <w:r>
              <w:rPr>
                <w:color w:val="000000"/>
              </w:rPr>
              <w:t xml:space="preserve">, </w:t>
            </w:r>
            <w:r w:rsidRPr="00244C91">
              <w:rPr>
                <w:color w:val="000000"/>
              </w:rPr>
              <w:t xml:space="preserve">Volume: 17   Issue: 1   Pages: 41-48   </w:t>
            </w:r>
          </w:p>
        </w:tc>
        <w:tc>
          <w:tcPr>
            <w:tcW w:w="0" w:type="auto"/>
            <w:vAlign w:val="center"/>
          </w:tcPr>
          <w:p w:rsidR="00BA6265" w:rsidRPr="00244C91" w:rsidRDefault="00BA6265" w:rsidP="006856D9">
            <w:pPr>
              <w:keepNext/>
              <w:spacing w:before="60" w:after="60"/>
              <w:rPr>
                <w:color w:val="000000"/>
              </w:rPr>
            </w:pPr>
            <w:r w:rsidRPr="00244C91">
              <w:rPr>
                <w:color w:val="000000"/>
              </w:rPr>
              <w:t>Literature Review. 24 studies included (16 RCTs, 8 Clinical Management, 8 clinical management, 9 health-related behaviour modification).</w:t>
            </w:r>
          </w:p>
        </w:tc>
        <w:tc>
          <w:tcPr>
            <w:tcW w:w="0" w:type="auto"/>
            <w:vAlign w:val="center"/>
          </w:tcPr>
          <w:p w:rsidR="00BA6265" w:rsidRPr="00244C91" w:rsidRDefault="00BA6265" w:rsidP="006856D9">
            <w:pPr>
              <w:keepNext/>
              <w:spacing w:before="60" w:after="60"/>
              <w:rPr>
                <w:color w:val="000000"/>
              </w:rPr>
            </w:pPr>
            <w:r w:rsidRPr="00244C91">
              <w:rPr>
                <w:color w:val="000000"/>
              </w:rPr>
              <w:t>Wide range of study designs included, including before and after with no control. No meta-analysis. Studies included various outcome measures.</w:t>
            </w:r>
          </w:p>
        </w:tc>
      </w:tr>
      <w:tr w:rsidR="00BA6265" w:rsidRPr="00244C91" w:rsidTr="00B426AB">
        <w:trPr>
          <w:trHeight w:val="100"/>
        </w:trPr>
        <w:tc>
          <w:tcPr>
            <w:tcW w:w="0" w:type="auto"/>
            <w:vAlign w:val="center"/>
          </w:tcPr>
          <w:p w:rsidR="00BA6265" w:rsidRPr="00F17749" w:rsidRDefault="00BA6265" w:rsidP="006856D9">
            <w:pPr>
              <w:keepNext/>
              <w:spacing w:before="60" w:after="60"/>
              <w:rPr>
                <w:color w:val="000000"/>
              </w:rPr>
            </w:pPr>
            <w:r w:rsidRPr="00F17749">
              <w:rPr>
                <w:color w:val="000000"/>
              </w:rPr>
              <w:t xml:space="preserve">Yang Y, </w:t>
            </w:r>
            <w:proofErr w:type="spellStart"/>
            <w:r w:rsidRPr="00F17749">
              <w:rPr>
                <w:color w:val="000000"/>
              </w:rPr>
              <w:t>Sangasubana</w:t>
            </w:r>
            <w:proofErr w:type="spellEnd"/>
            <w:r w:rsidRPr="00F17749">
              <w:rPr>
                <w:color w:val="000000"/>
              </w:rPr>
              <w:t xml:space="preserve"> N, Bentley S I, </w:t>
            </w:r>
            <w:proofErr w:type="spellStart"/>
            <w:r>
              <w:rPr>
                <w:color w:val="000000"/>
              </w:rPr>
              <w:t>Thumula</w:t>
            </w:r>
            <w:proofErr w:type="spellEnd"/>
            <w:r>
              <w:rPr>
                <w:color w:val="000000"/>
              </w:rPr>
              <w:t xml:space="preserve"> V</w:t>
            </w:r>
            <w:r w:rsidRPr="00F17749">
              <w:rPr>
                <w:color w:val="000000"/>
              </w:rPr>
              <w:t xml:space="preserve">, </w:t>
            </w:r>
            <w:proofErr w:type="spellStart"/>
            <w:r>
              <w:rPr>
                <w:color w:val="000000"/>
              </w:rPr>
              <w:t>Mendonca</w:t>
            </w:r>
            <w:proofErr w:type="spellEnd"/>
            <w:r>
              <w:rPr>
                <w:color w:val="000000"/>
              </w:rPr>
              <w:t xml:space="preserve"> C.</w:t>
            </w:r>
          </w:p>
        </w:tc>
        <w:tc>
          <w:tcPr>
            <w:tcW w:w="0" w:type="auto"/>
            <w:vAlign w:val="center"/>
          </w:tcPr>
          <w:p w:rsidR="00BA6265" w:rsidRPr="00244C91" w:rsidRDefault="00BA6265" w:rsidP="006856D9">
            <w:pPr>
              <w:keepNext/>
              <w:spacing w:before="60" w:after="60"/>
              <w:jc w:val="right"/>
              <w:rPr>
                <w:color w:val="000000"/>
              </w:rPr>
            </w:pPr>
            <w:r w:rsidRPr="00244C91">
              <w:rPr>
                <w:color w:val="000000"/>
              </w:rPr>
              <w:t>2008</w:t>
            </w:r>
          </w:p>
        </w:tc>
        <w:tc>
          <w:tcPr>
            <w:tcW w:w="0" w:type="auto"/>
            <w:vAlign w:val="center"/>
          </w:tcPr>
          <w:p w:rsidR="00BA6265" w:rsidRPr="00244C91" w:rsidRDefault="00BA6265" w:rsidP="006856D9">
            <w:pPr>
              <w:keepNext/>
              <w:spacing w:before="60" w:after="60"/>
              <w:rPr>
                <w:color w:val="000000"/>
              </w:rPr>
            </w:pPr>
            <w:r w:rsidRPr="00244C91">
              <w:rPr>
                <w:color w:val="000000"/>
              </w:rPr>
              <w:t xml:space="preserve">Randomized controlled trial of telephone, email and text messaging reminders on patient compliance with antibiotic regimen </w:t>
            </w:r>
          </w:p>
        </w:tc>
        <w:tc>
          <w:tcPr>
            <w:tcW w:w="0" w:type="auto"/>
            <w:vAlign w:val="center"/>
          </w:tcPr>
          <w:p w:rsidR="00BA6265" w:rsidRPr="00244C91" w:rsidRDefault="00BA6265" w:rsidP="006856D9">
            <w:pPr>
              <w:keepNext/>
              <w:spacing w:before="60" w:after="60"/>
              <w:rPr>
                <w:color w:val="000000"/>
              </w:rPr>
            </w:pPr>
            <w:r w:rsidRPr="00244C91">
              <w:rPr>
                <w:color w:val="000000"/>
              </w:rPr>
              <w:t>Value In Health</w:t>
            </w:r>
            <w:r>
              <w:rPr>
                <w:color w:val="000000"/>
              </w:rPr>
              <w:t>,</w:t>
            </w:r>
            <w:r w:rsidRPr="00244C91">
              <w:rPr>
                <w:color w:val="000000"/>
              </w:rPr>
              <w:t xml:space="preserve"> Volume: 11   Issue: 3   Pages: A104-A104   </w:t>
            </w:r>
          </w:p>
        </w:tc>
        <w:tc>
          <w:tcPr>
            <w:tcW w:w="0" w:type="auto"/>
            <w:vAlign w:val="center"/>
          </w:tcPr>
          <w:p w:rsidR="00BA6265" w:rsidRPr="00244C91" w:rsidRDefault="00BA6265" w:rsidP="006856D9">
            <w:pPr>
              <w:keepNext/>
              <w:spacing w:before="60" w:after="60"/>
              <w:rPr>
                <w:color w:val="000000"/>
              </w:rPr>
            </w:pPr>
            <w:r w:rsidRPr="00244C91">
              <w:rPr>
                <w:color w:val="000000"/>
              </w:rPr>
              <w:t>Randomized to telephone, email, SMS follow-up or control groups. Email, SMS, telephone call made on 4th day of antibiotic regimen.</w:t>
            </w:r>
          </w:p>
        </w:tc>
        <w:tc>
          <w:tcPr>
            <w:tcW w:w="0" w:type="auto"/>
            <w:vAlign w:val="center"/>
          </w:tcPr>
          <w:p w:rsidR="00BA6265" w:rsidRPr="00244C91" w:rsidRDefault="00BA6265" w:rsidP="006856D9">
            <w:pPr>
              <w:keepNext/>
              <w:spacing w:before="60" w:after="60"/>
              <w:rPr>
                <w:color w:val="000000"/>
              </w:rPr>
            </w:pPr>
            <w:r w:rsidRPr="00244C91">
              <w:rPr>
                <w:color w:val="000000"/>
              </w:rPr>
              <w:t>Conference extract only.</w:t>
            </w:r>
          </w:p>
        </w:tc>
      </w:tr>
    </w:tbl>
    <w:p w:rsidR="00BA6265" w:rsidRDefault="00BA6265" w:rsidP="00A601EF">
      <w:pPr>
        <w:pStyle w:val="Caption"/>
        <w:spacing w:line="480" w:lineRule="auto"/>
      </w:pPr>
    </w:p>
    <w:p w:rsidR="00BA6265" w:rsidRDefault="00BA6265">
      <w:pPr>
        <w:rPr>
          <w:rFonts w:ascii="Calibri" w:hAnsi="Calibri"/>
          <w:b/>
          <w:bCs/>
          <w:caps/>
          <w:sz w:val="16"/>
          <w:szCs w:val="18"/>
          <w:lang w:val="en-US" w:eastAsia="en-US"/>
        </w:rPr>
      </w:pPr>
      <w:r>
        <w:br w:type="page"/>
      </w:r>
    </w:p>
    <w:p w:rsidR="00BA6265" w:rsidRPr="00244C91" w:rsidRDefault="00BA6265" w:rsidP="006856D9">
      <w:pPr>
        <w:rPr>
          <w:b/>
          <w:color w:val="000000"/>
        </w:rPr>
      </w:pPr>
      <w:r w:rsidRPr="00A35D0D">
        <w:rPr>
          <w:rStyle w:val="Heading7Char"/>
        </w:rPr>
        <w:lastRenderedPageBreak/>
        <w:t>Table 2:</w:t>
      </w:r>
      <w:r w:rsidRPr="00244C91">
        <w:rPr>
          <w:b/>
          <w:bCs/>
          <w:caps/>
          <w:lang w:val="en-US"/>
        </w:rPr>
        <w:t xml:space="preserve"> </w:t>
      </w:r>
      <w:r w:rsidRPr="00244C91">
        <w:rPr>
          <w:color w:val="000000"/>
        </w:rPr>
        <w:t>A list of the six studies eligible for inclusion</w:t>
      </w:r>
      <w:r w:rsidRPr="00244C91">
        <w:rPr>
          <w:b/>
          <w:color w:val="000000"/>
        </w:rPr>
        <w:t xml:space="preserve"> </w:t>
      </w:r>
    </w:p>
    <w:p w:rsidR="00BA6265" w:rsidRPr="00244C91" w:rsidRDefault="00BA6265" w:rsidP="006856D9"/>
    <w:tbl>
      <w:tblPr>
        <w:tblW w:w="14757" w:type="dxa"/>
        <w:jc w:val="center"/>
        <w:tblInd w:w="-34" w:type="dxa"/>
        <w:tblBorders>
          <w:top w:val="single" w:sz="4" w:space="0" w:color="auto"/>
          <w:bottom w:val="single" w:sz="4" w:space="0" w:color="auto"/>
          <w:insideH w:val="single" w:sz="4" w:space="0" w:color="auto"/>
          <w:insideV w:val="single" w:sz="4" w:space="0" w:color="BFBFBF"/>
        </w:tblBorders>
        <w:tblLayout w:type="fixed"/>
        <w:tblLook w:val="0000" w:firstRow="0" w:lastRow="0" w:firstColumn="0" w:lastColumn="0" w:noHBand="0" w:noVBand="0"/>
      </w:tblPr>
      <w:tblGrid>
        <w:gridCol w:w="1653"/>
        <w:gridCol w:w="708"/>
        <w:gridCol w:w="2552"/>
        <w:gridCol w:w="2126"/>
        <w:gridCol w:w="3827"/>
        <w:gridCol w:w="3891"/>
      </w:tblGrid>
      <w:tr w:rsidR="00BA6265" w:rsidRPr="00244C91" w:rsidTr="00B426AB">
        <w:trPr>
          <w:trHeight w:val="522"/>
          <w:jc w:val="center"/>
        </w:trPr>
        <w:tc>
          <w:tcPr>
            <w:tcW w:w="1653" w:type="dxa"/>
            <w:vAlign w:val="center"/>
          </w:tcPr>
          <w:p w:rsidR="00BA6265" w:rsidRPr="00244C91" w:rsidRDefault="00BA6265" w:rsidP="00B426AB">
            <w:pPr>
              <w:spacing w:before="60" w:after="60"/>
              <w:jc w:val="center"/>
              <w:rPr>
                <w:b/>
                <w:color w:val="000000"/>
              </w:rPr>
            </w:pPr>
            <w:r w:rsidRPr="00244C91">
              <w:rPr>
                <w:b/>
                <w:color w:val="000000"/>
              </w:rPr>
              <w:t>Author/s</w:t>
            </w:r>
          </w:p>
        </w:tc>
        <w:tc>
          <w:tcPr>
            <w:tcW w:w="708" w:type="dxa"/>
            <w:vAlign w:val="center"/>
          </w:tcPr>
          <w:p w:rsidR="00BA6265" w:rsidRPr="00244C91" w:rsidRDefault="00BA6265" w:rsidP="00B426AB">
            <w:pPr>
              <w:spacing w:before="60" w:after="60"/>
              <w:jc w:val="center"/>
              <w:rPr>
                <w:b/>
                <w:color w:val="000000"/>
              </w:rPr>
            </w:pPr>
            <w:r w:rsidRPr="00244C91">
              <w:rPr>
                <w:b/>
                <w:color w:val="000000"/>
              </w:rPr>
              <w:t>Pub Date</w:t>
            </w:r>
          </w:p>
        </w:tc>
        <w:tc>
          <w:tcPr>
            <w:tcW w:w="2552" w:type="dxa"/>
            <w:vAlign w:val="center"/>
          </w:tcPr>
          <w:p w:rsidR="00BA6265" w:rsidRPr="00244C91" w:rsidRDefault="00BA6265" w:rsidP="00B426AB">
            <w:pPr>
              <w:spacing w:before="60" w:after="60"/>
              <w:jc w:val="center"/>
              <w:rPr>
                <w:b/>
                <w:color w:val="000000"/>
              </w:rPr>
            </w:pPr>
            <w:r w:rsidRPr="00244C91">
              <w:rPr>
                <w:b/>
                <w:color w:val="000000"/>
              </w:rPr>
              <w:t>Title</w:t>
            </w:r>
          </w:p>
        </w:tc>
        <w:tc>
          <w:tcPr>
            <w:tcW w:w="2126" w:type="dxa"/>
            <w:vAlign w:val="center"/>
          </w:tcPr>
          <w:p w:rsidR="00BA6265" w:rsidRPr="00244C91" w:rsidRDefault="00BA6265" w:rsidP="00B426AB">
            <w:pPr>
              <w:spacing w:before="60" w:after="60"/>
              <w:jc w:val="center"/>
              <w:rPr>
                <w:b/>
                <w:color w:val="000000"/>
              </w:rPr>
            </w:pPr>
            <w:r>
              <w:rPr>
                <w:b/>
                <w:color w:val="000000"/>
              </w:rPr>
              <w:t>Reference</w:t>
            </w:r>
          </w:p>
        </w:tc>
        <w:tc>
          <w:tcPr>
            <w:tcW w:w="3827" w:type="dxa"/>
            <w:vAlign w:val="center"/>
          </w:tcPr>
          <w:p w:rsidR="00BA6265" w:rsidRPr="00244C91" w:rsidRDefault="00BA6265" w:rsidP="00B426AB">
            <w:pPr>
              <w:spacing w:before="60" w:after="60"/>
              <w:jc w:val="center"/>
              <w:rPr>
                <w:b/>
                <w:color w:val="000000"/>
              </w:rPr>
            </w:pPr>
            <w:r w:rsidRPr="00244C91">
              <w:rPr>
                <w:b/>
                <w:color w:val="000000"/>
              </w:rPr>
              <w:t>Study Characteristics</w:t>
            </w:r>
          </w:p>
        </w:tc>
        <w:tc>
          <w:tcPr>
            <w:tcW w:w="3891" w:type="dxa"/>
            <w:vAlign w:val="center"/>
          </w:tcPr>
          <w:p w:rsidR="00BA6265" w:rsidRPr="00244C91" w:rsidRDefault="00BA6265" w:rsidP="00B426AB">
            <w:pPr>
              <w:spacing w:before="60" w:after="60"/>
              <w:jc w:val="center"/>
              <w:rPr>
                <w:b/>
                <w:color w:val="000000"/>
              </w:rPr>
            </w:pPr>
            <w:r w:rsidRPr="00244C91">
              <w:rPr>
                <w:b/>
                <w:color w:val="000000"/>
              </w:rPr>
              <w:t>Main Findings</w:t>
            </w:r>
          </w:p>
        </w:tc>
      </w:tr>
      <w:tr w:rsidR="00BA6265" w:rsidRPr="00244C91" w:rsidTr="00B426AB">
        <w:trPr>
          <w:trHeight w:val="432"/>
          <w:jc w:val="center"/>
        </w:trPr>
        <w:tc>
          <w:tcPr>
            <w:tcW w:w="1653" w:type="dxa"/>
            <w:vAlign w:val="center"/>
          </w:tcPr>
          <w:p w:rsidR="00BA6265" w:rsidRPr="00244C91" w:rsidRDefault="00BA6265" w:rsidP="00B426AB">
            <w:pPr>
              <w:spacing w:before="60" w:after="60"/>
              <w:rPr>
                <w:color w:val="000000"/>
                <w:lang w:val="nl-NL"/>
              </w:rPr>
            </w:pPr>
            <w:r w:rsidRPr="00F17749">
              <w:rPr>
                <w:color w:val="000000"/>
                <w:lang w:val="nl-NL"/>
              </w:rPr>
              <w:t>da Costa TM, Barbosa BJ, Gomes e Costa DA, Sigulem D, de Fátima Marin H, Filho AC, Pisa IT.</w:t>
            </w:r>
          </w:p>
        </w:tc>
        <w:tc>
          <w:tcPr>
            <w:tcW w:w="708" w:type="dxa"/>
            <w:vAlign w:val="center"/>
          </w:tcPr>
          <w:p w:rsidR="00BA6265" w:rsidRPr="00244C91" w:rsidRDefault="00BA6265" w:rsidP="00B426AB">
            <w:pPr>
              <w:spacing w:before="60" w:after="60"/>
              <w:jc w:val="right"/>
              <w:rPr>
                <w:color w:val="000000"/>
              </w:rPr>
            </w:pPr>
            <w:r w:rsidRPr="00244C91">
              <w:rPr>
                <w:color w:val="000000"/>
              </w:rPr>
              <w:t>2012</w:t>
            </w:r>
          </w:p>
        </w:tc>
        <w:tc>
          <w:tcPr>
            <w:tcW w:w="2552" w:type="dxa"/>
            <w:vAlign w:val="center"/>
          </w:tcPr>
          <w:p w:rsidR="00BA6265" w:rsidRPr="00244C91" w:rsidRDefault="00BA6265" w:rsidP="00B426AB">
            <w:pPr>
              <w:spacing w:before="60" w:after="60"/>
              <w:rPr>
                <w:color w:val="000000"/>
              </w:rPr>
            </w:pPr>
            <w:r w:rsidRPr="00244C91">
              <w:rPr>
                <w:color w:val="000000"/>
              </w:rPr>
              <w:t>Results of a randomized controlled trial to assess the effects of a mobile SMS-based intervention on treatment adherence in HIV/AIDS-infected Brazilian women and impressions and satisfaction with respect to incoming messages</w:t>
            </w:r>
          </w:p>
        </w:tc>
        <w:tc>
          <w:tcPr>
            <w:tcW w:w="2126" w:type="dxa"/>
            <w:vAlign w:val="center"/>
          </w:tcPr>
          <w:p w:rsidR="00BA6265" w:rsidRPr="00F17749" w:rsidRDefault="00BA6265" w:rsidP="00B426AB">
            <w:pPr>
              <w:spacing w:before="60" w:after="60"/>
              <w:rPr>
                <w:color w:val="000000"/>
              </w:rPr>
            </w:pPr>
            <w:r w:rsidRPr="00F17749">
              <w:rPr>
                <w:bCs/>
                <w:color w:val="000000"/>
              </w:rPr>
              <w:t>International Journal of Medical Informatics</w:t>
            </w:r>
            <w:r>
              <w:rPr>
                <w:bCs/>
                <w:color w:val="000000"/>
              </w:rPr>
              <w:t xml:space="preserve">, </w:t>
            </w:r>
            <w:r w:rsidRPr="00F17749">
              <w:rPr>
                <w:bCs/>
                <w:color w:val="000000"/>
              </w:rPr>
              <w:t>2012 Apr;81(4):257-69</w:t>
            </w:r>
          </w:p>
          <w:p w:rsidR="00BA6265" w:rsidRPr="00244C91" w:rsidRDefault="00BA6265" w:rsidP="00B426AB">
            <w:pPr>
              <w:spacing w:before="60" w:after="60"/>
              <w:rPr>
                <w:color w:val="000000"/>
              </w:rPr>
            </w:pPr>
          </w:p>
        </w:tc>
        <w:tc>
          <w:tcPr>
            <w:tcW w:w="3827" w:type="dxa"/>
            <w:vAlign w:val="center"/>
          </w:tcPr>
          <w:p w:rsidR="00BA6265" w:rsidRPr="00244C91" w:rsidRDefault="00BA6265" w:rsidP="00B426AB">
            <w:pPr>
              <w:spacing w:before="60" w:after="60"/>
              <w:rPr>
                <w:color w:val="000000"/>
              </w:rPr>
            </w:pPr>
            <w:r w:rsidRPr="00244C91">
              <w:rPr>
                <w:color w:val="000000"/>
              </w:rPr>
              <w:t xml:space="preserve">Randomised Controlled Trial. </w:t>
            </w:r>
          </w:p>
          <w:p w:rsidR="00BA6265" w:rsidRPr="00244C91" w:rsidRDefault="00BA6265" w:rsidP="00B426AB">
            <w:pPr>
              <w:spacing w:before="60" w:after="60"/>
              <w:rPr>
                <w:color w:val="000000"/>
              </w:rPr>
            </w:pPr>
            <w:r w:rsidRPr="00244C91">
              <w:rPr>
                <w:color w:val="000000"/>
              </w:rPr>
              <w:t>Study context: Brazil</w:t>
            </w:r>
          </w:p>
          <w:p w:rsidR="00BA6265" w:rsidRPr="00244C91" w:rsidRDefault="00BA6265" w:rsidP="00B426AB">
            <w:pPr>
              <w:spacing w:before="60" w:after="60"/>
              <w:rPr>
                <w:color w:val="000000"/>
              </w:rPr>
            </w:pPr>
            <w:r w:rsidRPr="00244C91">
              <w:rPr>
                <w:color w:val="000000"/>
              </w:rPr>
              <w:t>Randomised to standard care or standard care plus SMS messaging.</w:t>
            </w:r>
          </w:p>
          <w:p w:rsidR="00BA6265" w:rsidRPr="00244C91" w:rsidRDefault="00BA6265" w:rsidP="00B426AB">
            <w:pPr>
              <w:spacing w:before="60" w:after="60"/>
              <w:rPr>
                <w:color w:val="000000"/>
              </w:rPr>
            </w:pPr>
            <w:r w:rsidRPr="00244C91">
              <w:rPr>
                <w:color w:val="000000"/>
              </w:rPr>
              <w:t>Intervention delivered over 4-months. The SMS message automatically sent on Saturday and Sunday and alternate days through the working week. Participants were required to own a mobile phone and be experienced SMS users. No participant response required.</w:t>
            </w:r>
          </w:p>
          <w:p w:rsidR="00BA6265" w:rsidRPr="00244C91" w:rsidRDefault="00BA6265" w:rsidP="00B426AB">
            <w:pPr>
              <w:spacing w:before="60" w:after="60"/>
              <w:rPr>
                <w:color w:val="000000"/>
              </w:rPr>
            </w:pPr>
            <w:r w:rsidRPr="00244C91">
              <w:rPr>
                <w:color w:val="000000"/>
              </w:rPr>
              <w:t>29 participants were randomised (Control n = 15 and Intervention n=14). Of those allocated to the intervention, only 9 received the allocated intervention (5 did not receive the intervention due to phone theft or loss, change of number or leaving the broadcast area). Eight participants in the Intervention group were included in the analysis. Two participants from the control group are reported as ‘lost to follow-up’ and were excluded from the analysis. 5 of 8 study quality measures met.</w:t>
            </w:r>
          </w:p>
        </w:tc>
        <w:tc>
          <w:tcPr>
            <w:tcW w:w="3891" w:type="dxa"/>
            <w:vAlign w:val="center"/>
          </w:tcPr>
          <w:p w:rsidR="00BA6265" w:rsidRPr="00244C91" w:rsidRDefault="00BA6265" w:rsidP="00B426AB">
            <w:pPr>
              <w:spacing w:before="60" w:after="60"/>
              <w:rPr>
                <w:color w:val="000000"/>
              </w:rPr>
            </w:pPr>
            <w:r w:rsidRPr="00244C91">
              <w:rPr>
                <w:color w:val="000000"/>
              </w:rPr>
              <w:t>Outcomes measured included – self reporting, counting of pills and microelectronic monitoring via pill bottle lids. Adherence measured as exceeding 95% of participants.</w:t>
            </w:r>
          </w:p>
          <w:p w:rsidR="00BA6265" w:rsidRPr="00244C91" w:rsidRDefault="00BA6265" w:rsidP="00B426AB">
            <w:pPr>
              <w:spacing w:before="60" w:after="60"/>
            </w:pPr>
            <w:proofErr w:type="spellStart"/>
            <w:r w:rsidRPr="00244C91">
              <w:rPr>
                <w:i/>
                <w:color w:val="000000"/>
              </w:rPr>
              <w:t>Self reporting</w:t>
            </w:r>
            <w:proofErr w:type="spellEnd"/>
            <w:r w:rsidRPr="00244C91">
              <w:rPr>
                <w:i/>
                <w:color w:val="000000"/>
              </w:rPr>
              <w:t xml:space="preserve">: </w:t>
            </w:r>
            <w:r w:rsidRPr="00244C91">
              <w:rPr>
                <w:color w:val="000000"/>
              </w:rPr>
              <w:t>100% p</w:t>
            </w:r>
            <w:r w:rsidRPr="00244C91">
              <w:t xml:space="preserve">articipants in the Intervention group adherent (n = 8) compared to 85% participants in the Control group (n = 11) adherence. </w:t>
            </w:r>
          </w:p>
          <w:p w:rsidR="00BA6265" w:rsidRPr="00244C91" w:rsidRDefault="00BA6265" w:rsidP="00B426AB">
            <w:pPr>
              <w:spacing w:before="60" w:after="60"/>
            </w:pPr>
            <w:r w:rsidRPr="00244C91">
              <w:rPr>
                <w:i/>
              </w:rPr>
              <w:t>Counting of Pills:</w:t>
            </w:r>
            <w:r w:rsidRPr="00244C91">
              <w:t xml:space="preserve"> 3 participants (38%) in the Control group and 4 participants (50%) in the Intervention group were measured as adherent using this method.</w:t>
            </w:r>
          </w:p>
          <w:p w:rsidR="00BA6265" w:rsidRPr="00244C91" w:rsidRDefault="00BA6265" w:rsidP="00B426AB">
            <w:pPr>
              <w:spacing w:before="60" w:after="60"/>
            </w:pPr>
            <w:r w:rsidRPr="00244C91">
              <w:rPr>
                <w:i/>
              </w:rPr>
              <w:t>Microelectronic monitoring</w:t>
            </w:r>
            <w:r w:rsidRPr="00244C91">
              <w:t xml:space="preserve">: 6 participants in the control group (46%) compared with 6 participants in the intervention group (75%) were measured as adherent using this method. </w:t>
            </w:r>
          </w:p>
          <w:p w:rsidR="00BA6265" w:rsidRPr="00244C91" w:rsidRDefault="00BA6265" w:rsidP="00B426AB">
            <w:pPr>
              <w:spacing w:before="60" w:after="60"/>
            </w:pPr>
            <w:r w:rsidRPr="00244C91">
              <w:t>The study was under powered.</w:t>
            </w:r>
          </w:p>
          <w:p w:rsidR="00BA6265" w:rsidRPr="00244C91" w:rsidRDefault="00BA6265" w:rsidP="00B426AB">
            <w:pPr>
              <w:spacing w:before="60" w:after="60"/>
              <w:rPr>
                <w:color w:val="000000"/>
              </w:rPr>
            </w:pPr>
          </w:p>
        </w:tc>
      </w:tr>
      <w:tr w:rsidR="00BA6265" w:rsidRPr="00244C91" w:rsidTr="00B426AB">
        <w:trPr>
          <w:trHeight w:val="2624"/>
          <w:jc w:val="center"/>
        </w:trPr>
        <w:tc>
          <w:tcPr>
            <w:tcW w:w="1653" w:type="dxa"/>
            <w:vAlign w:val="center"/>
          </w:tcPr>
          <w:p w:rsidR="00BA6265" w:rsidRPr="00244C91" w:rsidRDefault="00BA6265" w:rsidP="00B426AB">
            <w:pPr>
              <w:spacing w:before="60" w:after="60"/>
              <w:rPr>
                <w:color w:val="000000"/>
                <w:lang w:val="nl-NL"/>
              </w:rPr>
            </w:pPr>
            <w:r w:rsidRPr="00F17749">
              <w:rPr>
                <w:color w:val="000000"/>
                <w:lang w:val="nl-NL"/>
              </w:rPr>
              <w:lastRenderedPageBreak/>
              <w:t>Horvath T, Azman H, Kennedy GE, Rutherford GW.</w:t>
            </w:r>
            <w:r w:rsidRPr="00244C91">
              <w:rPr>
                <w:i/>
                <w:color w:val="000000"/>
                <w:lang w:val="nl-NL"/>
              </w:rPr>
              <w:t>.</w:t>
            </w:r>
          </w:p>
        </w:tc>
        <w:tc>
          <w:tcPr>
            <w:tcW w:w="708" w:type="dxa"/>
            <w:vAlign w:val="center"/>
          </w:tcPr>
          <w:p w:rsidR="00BA6265" w:rsidRPr="00244C91" w:rsidRDefault="00BA6265" w:rsidP="00B426AB">
            <w:pPr>
              <w:spacing w:before="60" w:after="60"/>
              <w:jc w:val="right"/>
              <w:rPr>
                <w:color w:val="000000"/>
              </w:rPr>
            </w:pPr>
            <w:r w:rsidRPr="00244C91">
              <w:rPr>
                <w:color w:val="000000"/>
              </w:rPr>
              <w:t>2012</w:t>
            </w:r>
          </w:p>
        </w:tc>
        <w:tc>
          <w:tcPr>
            <w:tcW w:w="2552" w:type="dxa"/>
            <w:vAlign w:val="center"/>
          </w:tcPr>
          <w:p w:rsidR="00BA6265" w:rsidRPr="00244C91" w:rsidRDefault="00BA6265" w:rsidP="00B426AB">
            <w:pPr>
              <w:spacing w:before="60" w:after="60"/>
              <w:rPr>
                <w:color w:val="000000"/>
              </w:rPr>
            </w:pPr>
            <w:r w:rsidRPr="00244C91">
              <w:rPr>
                <w:color w:val="000000"/>
              </w:rPr>
              <w:t>Mobile phone text messaging for promoting adherence to antiretroviral therapy in patients with HIV infection</w:t>
            </w:r>
          </w:p>
        </w:tc>
        <w:tc>
          <w:tcPr>
            <w:tcW w:w="2126" w:type="dxa"/>
            <w:vAlign w:val="center"/>
          </w:tcPr>
          <w:p w:rsidR="00BA6265" w:rsidRPr="00244C91" w:rsidRDefault="00BA6265" w:rsidP="00B426AB">
            <w:pPr>
              <w:spacing w:before="60" w:after="60"/>
              <w:rPr>
                <w:color w:val="000000"/>
              </w:rPr>
            </w:pPr>
            <w:r w:rsidRPr="00244C91">
              <w:rPr>
                <w:color w:val="000000"/>
              </w:rPr>
              <w:t>Cochrane Database</w:t>
            </w:r>
            <w:r>
              <w:rPr>
                <w:color w:val="000000"/>
              </w:rPr>
              <w:t>,</w:t>
            </w:r>
            <w:r w:rsidRPr="00244C91">
              <w:rPr>
                <w:color w:val="000000"/>
              </w:rPr>
              <w:t xml:space="preserve">  DOI: 10.1002/14651858.CD009756</w:t>
            </w:r>
          </w:p>
        </w:tc>
        <w:tc>
          <w:tcPr>
            <w:tcW w:w="3827" w:type="dxa"/>
            <w:vAlign w:val="center"/>
          </w:tcPr>
          <w:p w:rsidR="00BA6265" w:rsidRPr="00244C91" w:rsidRDefault="00BA6265" w:rsidP="00B426AB">
            <w:pPr>
              <w:spacing w:before="60" w:after="60"/>
              <w:rPr>
                <w:color w:val="000000"/>
              </w:rPr>
            </w:pPr>
            <w:r w:rsidRPr="00244C91">
              <w:rPr>
                <w:color w:val="000000"/>
              </w:rPr>
              <w:t xml:space="preserve">Systematic Literature Review &amp; meta-analysis (2 Randomised Control Trials) </w:t>
            </w:r>
          </w:p>
          <w:p w:rsidR="00BA6265" w:rsidRPr="00244C91" w:rsidRDefault="00BA6265" w:rsidP="00B426AB">
            <w:pPr>
              <w:spacing w:before="60" w:after="60"/>
              <w:rPr>
                <w:color w:val="000000"/>
              </w:rPr>
            </w:pPr>
            <w:r w:rsidRPr="00244C91">
              <w:rPr>
                <w:color w:val="000000"/>
              </w:rPr>
              <w:t>Studies’ context: Kenya.</w:t>
            </w:r>
          </w:p>
          <w:p w:rsidR="00BA6265" w:rsidRPr="00244C91" w:rsidRDefault="00BA6265" w:rsidP="00B426AB">
            <w:pPr>
              <w:spacing w:before="60" w:after="60"/>
              <w:rPr>
                <w:color w:val="000000"/>
              </w:rPr>
            </w:pPr>
            <w:r w:rsidRPr="00244C91">
              <w:rPr>
                <w:color w:val="000000"/>
              </w:rPr>
              <w:t>In 1 study all participants provided with mobile phones &amp; no response from patients required; in the other study patients required access to own mobile phone and a response from patient required within 48 h.</w:t>
            </w:r>
          </w:p>
          <w:p w:rsidR="00BA6265" w:rsidRPr="00244C91" w:rsidRDefault="00BA6265" w:rsidP="00B426AB">
            <w:pPr>
              <w:spacing w:before="60" w:after="60"/>
              <w:rPr>
                <w:color w:val="000000"/>
              </w:rPr>
            </w:pPr>
            <w:r w:rsidRPr="00244C91">
              <w:rPr>
                <w:color w:val="000000"/>
              </w:rPr>
              <w:t>Studies conducted over 48-52 wks.</w:t>
            </w:r>
          </w:p>
        </w:tc>
        <w:tc>
          <w:tcPr>
            <w:tcW w:w="3891" w:type="dxa"/>
            <w:vAlign w:val="center"/>
          </w:tcPr>
          <w:p w:rsidR="00BA6265" w:rsidRPr="00244C91" w:rsidRDefault="00BA6265" w:rsidP="00B426AB">
            <w:pPr>
              <w:spacing w:before="60" w:after="60"/>
              <w:rPr>
                <w:color w:val="000000"/>
              </w:rPr>
            </w:pPr>
            <w:r w:rsidRPr="00244C91">
              <w:rPr>
                <w:color w:val="000000"/>
              </w:rPr>
              <w:t>In meta-analysis of both trials, any weekly text-messaging (i.e. whether short or long messages) was associated with a lower risk of non-adherence at 48-52 weeks (RR 0.78, 95% CI 0.68 to 0.89). The effect of short weekly text-messaging was also significant (RR 0.77, 95% CI 0.67 to 0.89).</w:t>
            </w:r>
          </w:p>
        </w:tc>
      </w:tr>
      <w:tr w:rsidR="00BA6265" w:rsidRPr="00244C91" w:rsidTr="00B426AB">
        <w:trPr>
          <w:trHeight w:val="2543"/>
          <w:jc w:val="center"/>
        </w:trPr>
        <w:tc>
          <w:tcPr>
            <w:tcW w:w="1653" w:type="dxa"/>
            <w:vAlign w:val="center"/>
          </w:tcPr>
          <w:p w:rsidR="00BA6265" w:rsidRPr="00244C91" w:rsidRDefault="00BA6265" w:rsidP="00B426AB">
            <w:pPr>
              <w:spacing w:before="60" w:after="60"/>
            </w:pPr>
            <w:r w:rsidRPr="00F17749">
              <w:t>Pop-</w:t>
            </w:r>
            <w:proofErr w:type="spellStart"/>
            <w:r w:rsidRPr="00F17749">
              <w:t>Eleches</w:t>
            </w:r>
            <w:proofErr w:type="spellEnd"/>
            <w:r w:rsidRPr="00F17749">
              <w:t xml:space="preserve"> C, </w:t>
            </w:r>
            <w:proofErr w:type="spellStart"/>
            <w:r w:rsidRPr="00F17749">
              <w:t>Thirumurthy</w:t>
            </w:r>
            <w:proofErr w:type="spellEnd"/>
            <w:r w:rsidRPr="00F17749">
              <w:t xml:space="preserve"> H, </w:t>
            </w:r>
            <w:proofErr w:type="spellStart"/>
            <w:r w:rsidRPr="00F17749">
              <w:t>Habyarimana</w:t>
            </w:r>
            <w:proofErr w:type="spellEnd"/>
            <w:r w:rsidRPr="00F17749">
              <w:t xml:space="preserve"> JP, </w:t>
            </w:r>
            <w:proofErr w:type="spellStart"/>
            <w:r w:rsidRPr="00F17749">
              <w:t>Zivin</w:t>
            </w:r>
            <w:proofErr w:type="spellEnd"/>
            <w:r w:rsidRPr="00F17749">
              <w:t xml:space="preserve"> JG, Goldstein MP, de </w:t>
            </w:r>
            <w:proofErr w:type="spellStart"/>
            <w:r w:rsidRPr="00F17749">
              <w:t>Walque</w:t>
            </w:r>
            <w:proofErr w:type="spellEnd"/>
            <w:r w:rsidRPr="00F17749">
              <w:t xml:space="preserve"> D, </w:t>
            </w:r>
            <w:proofErr w:type="spellStart"/>
            <w:r w:rsidRPr="00F17749">
              <w:t>MacKeen</w:t>
            </w:r>
            <w:proofErr w:type="spellEnd"/>
            <w:r w:rsidRPr="00F17749">
              <w:t xml:space="preserve"> L, </w:t>
            </w:r>
            <w:proofErr w:type="spellStart"/>
            <w:r w:rsidRPr="00F17749">
              <w:t>Haberer</w:t>
            </w:r>
            <w:proofErr w:type="spellEnd"/>
            <w:r w:rsidRPr="00F17749">
              <w:t xml:space="preserve"> J, </w:t>
            </w:r>
            <w:proofErr w:type="spellStart"/>
            <w:r w:rsidRPr="00F17749">
              <w:t>Kimaiyo</w:t>
            </w:r>
            <w:proofErr w:type="spellEnd"/>
            <w:r w:rsidRPr="00F17749">
              <w:t xml:space="preserve"> S, Sidle J, </w:t>
            </w:r>
            <w:proofErr w:type="spellStart"/>
            <w:r w:rsidRPr="00F17749">
              <w:t>Ngare</w:t>
            </w:r>
            <w:proofErr w:type="spellEnd"/>
            <w:r w:rsidRPr="00F17749">
              <w:t xml:space="preserve"> D, </w:t>
            </w:r>
            <w:proofErr w:type="spellStart"/>
            <w:r w:rsidRPr="00F17749">
              <w:t>Bangsberg</w:t>
            </w:r>
            <w:proofErr w:type="spellEnd"/>
            <w:r w:rsidRPr="00F17749">
              <w:t xml:space="preserve"> DR</w:t>
            </w:r>
            <w:r w:rsidRPr="00244C91">
              <w:rPr>
                <w:i/>
              </w:rPr>
              <w:t>.</w:t>
            </w:r>
          </w:p>
        </w:tc>
        <w:tc>
          <w:tcPr>
            <w:tcW w:w="708" w:type="dxa"/>
            <w:vAlign w:val="center"/>
          </w:tcPr>
          <w:p w:rsidR="00BA6265" w:rsidRPr="00244C91" w:rsidRDefault="00BA6265" w:rsidP="00B426AB">
            <w:pPr>
              <w:spacing w:before="60" w:after="60"/>
              <w:jc w:val="right"/>
              <w:rPr>
                <w:color w:val="000000"/>
              </w:rPr>
            </w:pPr>
            <w:r w:rsidRPr="00244C91">
              <w:rPr>
                <w:color w:val="000000"/>
              </w:rPr>
              <w:t>2011</w:t>
            </w:r>
          </w:p>
        </w:tc>
        <w:tc>
          <w:tcPr>
            <w:tcW w:w="2552" w:type="dxa"/>
            <w:vAlign w:val="center"/>
          </w:tcPr>
          <w:p w:rsidR="00BA6265" w:rsidRPr="00244C91" w:rsidRDefault="00BA6265" w:rsidP="00B426AB">
            <w:pPr>
              <w:spacing w:before="60" w:after="60"/>
              <w:rPr>
                <w:color w:val="000000"/>
              </w:rPr>
            </w:pPr>
            <w:r w:rsidRPr="00244C91">
              <w:rPr>
                <w:color w:val="000000"/>
              </w:rPr>
              <w:t xml:space="preserve">Mobile phone technologies improve adherence to antiretroviral treatment in a </w:t>
            </w:r>
            <w:r w:rsidRPr="00244C91">
              <w:rPr>
                <w:color w:val="000000"/>
              </w:rPr>
              <w:br w:type="page"/>
              <w:t>resource-limited setting: a randomized controlled trial of text message</w:t>
            </w:r>
            <w:r w:rsidRPr="00244C91">
              <w:rPr>
                <w:color w:val="000000"/>
              </w:rPr>
              <w:br w:type="page"/>
              <w:t>reminders.</w:t>
            </w:r>
          </w:p>
        </w:tc>
        <w:tc>
          <w:tcPr>
            <w:tcW w:w="2126" w:type="dxa"/>
            <w:vAlign w:val="center"/>
          </w:tcPr>
          <w:p w:rsidR="00BA6265" w:rsidRPr="00244C91" w:rsidRDefault="00BA6265" w:rsidP="00B426AB">
            <w:pPr>
              <w:spacing w:before="60" w:after="60"/>
              <w:rPr>
                <w:color w:val="000000"/>
              </w:rPr>
            </w:pPr>
            <w:r w:rsidRPr="00244C91">
              <w:rPr>
                <w:color w:val="000000"/>
              </w:rPr>
              <w:t>AIDS</w:t>
            </w:r>
            <w:r>
              <w:rPr>
                <w:color w:val="000000"/>
              </w:rPr>
              <w:t>,</w:t>
            </w:r>
            <w:r w:rsidRPr="00244C91">
              <w:rPr>
                <w:color w:val="000000"/>
              </w:rPr>
              <w:t xml:space="preserve"> 2011 Mar 27;25(6):825-34.</w:t>
            </w:r>
          </w:p>
        </w:tc>
        <w:tc>
          <w:tcPr>
            <w:tcW w:w="3827" w:type="dxa"/>
            <w:vAlign w:val="center"/>
          </w:tcPr>
          <w:p w:rsidR="00BA6265" w:rsidRPr="00244C91" w:rsidRDefault="00BA6265" w:rsidP="00B426AB">
            <w:pPr>
              <w:spacing w:before="60" w:after="60"/>
              <w:rPr>
                <w:color w:val="000000"/>
              </w:rPr>
            </w:pPr>
            <w:r w:rsidRPr="00244C91">
              <w:rPr>
                <w:color w:val="000000"/>
              </w:rPr>
              <w:t xml:space="preserve">Randomised Controlled Trial. </w:t>
            </w:r>
          </w:p>
          <w:p w:rsidR="00BA6265" w:rsidRPr="00244C91" w:rsidRDefault="00BA6265" w:rsidP="00B426AB">
            <w:pPr>
              <w:spacing w:before="60" w:after="60"/>
              <w:rPr>
                <w:color w:val="000000"/>
              </w:rPr>
            </w:pPr>
            <w:r w:rsidRPr="00244C91">
              <w:rPr>
                <w:color w:val="000000"/>
              </w:rPr>
              <w:t>Study context: Kenya</w:t>
            </w:r>
          </w:p>
          <w:p w:rsidR="00BA6265" w:rsidRPr="00244C91" w:rsidRDefault="00BA6265" w:rsidP="00B426AB">
            <w:pPr>
              <w:spacing w:before="60" w:after="60"/>
              <w:rPr>
                <w:color w:val="000000"/>
              </w:rPr>
            </w:pPr>
            <w:r w:rsidRPr="00244C91">
              <w:rPr>
                <w:color w:val="000000"/>
              </w:rPr>
              <w:t>Randomised to 4 SMS reminder interventions (short daily SMS (n=70), long daily SMS (n=72), short weekly SMS (n=73), and long weekly SMS (n=74)) or control (n=139). Messages sent out at 12pm. Study conducted over 48 wks. 7 out of 8 study quality measures</w:t>
            </w:r>
            <w:r w:rsidRPr="00244C91">
              <w:rPr>
                <w:color w:val="000000"/>
                <w:vertAlign w:val="superscript"/>
              </w:rPr>
              <w:t>1</w:t>
            </w:r>
            <w:r w:rsidRPr="00244C91">
              <w:rPr>
                <w:color w:val="000000"/>
              </w:rPr>
              <w:t xml:space="preserve"> clearly met.</w:t>
            </w:r>
          </w:p>
        </w:tc>
        <w:tc>
          <w:tcPr>
            <w:tcW w:w="3891" w:type="dxa"/>
            <w:vAlign w:val="center"/>
          </w:tcPr>
          <w:p w:rsidR="00BA6265" w:rsidRPr="00244C91" w:rsidRDefault="00BA6265" w:rsidP="00B426AB">
            <w:pPr>
              <w:spacing w:before="60" w:after="60"/>
              <w:rPr>
                <w:color w:val="000000"/>
              </w:rPr>
            </w:pPr>
            <w:r w:rsidRPr="00244C91">
              <w:rPr>
                <w:color w:val="000000"/>
              </w:rPr>
              <w:t xml:space="preserve">Proportion of at least 90% adherence according to intervention by intention-to-treat at 48 weeks: </w:t>
            </w:r>
          </w:p>
          <w:p w:rsidR="00BA6265" w:rsidRPr="00244C91" w:rsidRDefault="00BA6265" w:rsidP="00B426AB">
            <w:pPr>
              <w:spacing w:before="60" w:after="60"/>
              <w:rPr>
                <w:color w:val="000000"/>
              </w:rPr>
            </w:pPr>
            <w:r w:rsidRPr="00244C91">
              <w:rPr>
                <w:color w:val="000000"/>
              </w:rPr>
              <w:t xml:space="preserve">Control (n=139) - 0.40; </w:t>
            </w:r>
          </w:p>
          <w:p w:rsidR="00BA6265" w:rsidRPr="00244C91" w:rsidRDefault="00BA6265" w:rsidP="00B426AB">
            <w:pPr>
              <w:spacing w:before="60" w:after="60"/>
              <w:rPr>
                <w:color w:val="000000"/>
              </w:rPr>
            </w:pPr>
            <w:r w:rsidRPr="00244C91">
              <w:rPr>
                <w:color w:val="000000"/>
              </w:rPr>
              <w:t>Daily (all) (n=142) - 0.41 (</w:t>
            </w:r>
            <w:r w:rsidRPr="00244C91">
              <w:rPr>
                <w:i/>
                <w:color w:val="000000"/>
              </w:rPr>
              <w:t>p</w:t>
            </w:r>
            <w:r w:rsidRPr="00244C91">
              <w:rPr>
                <w:color w:val="000000"/>
              </w:rPr>
              <w:t xml:space="preserve"> 0.92); Weekly (all) (n=147) – 0.53 (</w:t>
            </w:r>
            <w:r w:rsidRPr="00244C91">
              <w:rPr>
                <w:i/>
                <w:color w:val="000000"/>
              </w:rPr>
              <w:t xml:space="preserve">p </w:t>
            </w:r>
            <w:r w:rsidRPr="00244C91">
              <w:rPr>
                <w:color w:val="000000"/>
              </w:rPr>
              <w:t>0.03)</w:t>
            </w:r>
            <w:r w:rsidRPr="00244C91">
              <w:rPr>
                <w:i/>
                <w:color w:val="000000"/>
              </w:rPr>
              <w:t xml:space="preserve">; </w:t>
            </w:r>
            <w:r w:rsidRPr="00244C91">
              <w:rPr>
                <w:color w:val="000000"/>
              </w:rPr>
              <w:t>Short (all) (n=143) – 0.47 (</w:t>
            </w:r>
            <w:r w:rsidRPr="00244C91">
              <w:rPr>
                <w:i/>
                <w:color w:val="000000"/>
              </w:rPr>
              <w:t xml:space="preserve">p </w:t>
            </w:r>
            <w:r w:rsidRPr="00244C91">
              <w:rPr>
                <w:color w:val="000000"/>
              </w:rPr>
              <w:t>0.27); Long (all) (n=146) – 0.47 (</w:t>
            </w:r>
            <w:r w:rsidRPr="00244C91">
              <w:rPr>
                <w:i/>
                <w:color w:val="000000"/>
              </w:rPr>
              <w:t>p</w:t>
            </w:r>
            <w:r w:rsidRPr="00244C91">
              <w:rPr>
                <w:color w:val="000000"/>
              </w:rPr>
              <w:t xml:space="preserve"> 0.24). Participants in groups receiving weekly reminders were significantly less likely to experience treatment interruptions exceeding 48 h during the 48-week follow-up period than participants in the control groups (81 </w:t>
            </w:r>
            <w:proofErr w:type="spellStart"/>
            <w:r w:rsidRPr="00244C91">
              <w:rPr>
                <w:color w:val="000000"/>
              </w:rPr>
              <w:t>vs</w:t>
            </w:r>
            <w:proofErr w:type="spellEnd"/>
            <w:r w:rsidRPr="00244C91">
              <w:rPr>
                <w:color w:val="000000"/>
              </w:rPr>
              <w:t xml:space="preserve"> 90%, P = 0.03) </w:t>
            </w:r>
          </w:p>
        </w:tc>
      </w:tr>
      <w:tr w:rsidR="00BA6265" w:rsidRPr="00244C91" w:rsidTr="00B426AB">
        <w:trPr>
          <w:trHeight w:val="498"/>
          <w:jc w:val="center"/>
        </w:trPr>
        <w:tc>
          <w:tcPr>
            <w:tcW w:w="1653" w:type="dxa"/>
            <w:vAlign w:val="center"/>
          </w:tcPr>
          <w:p w:rsidR="00BA6265" w:rsidRPr="00244C91" w:rsidRDefault="00BA6265" w:rsidP="00B426AB">
            <w:pPr>
              <w:spacing w:before="60" w:after="60"/>
              <w:rPr>
                <w:color w:val="000000"/>
                <w:lang w:val="nl-NL"/>
              </w:rPr>
            </w:pPr>
            <w:r w:rsidRPr="00F17749">
              <w:rPr>
                <w:color w:val="000000"/>
                <w:lang w:val="nl-NL"/>
              </w:rPr>
              <w:t>Sharma R, Hebbal M, Ankola AV, Murugabupathy V.</w:t>
            </w:r>
          </w:p>
        </w:tc>
        <w:tc>
          <w:tcPr>
            <w:tcW w:w="708" w:type="dxa"/>
            <w:vAlign w:val="center"/>
          </w:tcPr>
          <w:p w:rsidR="00BA6265" w:rsidRPr="00244C91" w:rsidRDefault="00BA6265" w:rsidP="00B426AB">
            <w:pPr>
              <w:spacing w:before="60" w:after="60"/>
              <w:jc w:val="right"/>
              <w:rPr>
                <w:color w:val="000000"/>
              </w:rPr>
            </w:pPr>
            <w:r w:rsidRPr="00244C91">
              <w:rPr>
                <w:color w:val="000000"/>
              </w:rPr>
              <w:t>2011</w:t>
            </w:r>
          </w:p>
        </w:tc>
        <w:tc>
          <w:tcPr>
            <w:tcW w:w="2552" w:type="dxa"/>
            <w:vAlign w:val="center"/>
          </w:tcPr>
          <w:p w:rsidR="00BA6265" w:rsidRPr="00244C91" w:rsidRDefault="00BA6265" w:rsidP="00B426AB">
            <w:pPr>
              <w:spacing w:before="60" w:after="60"/>
              <w:rPr>
                <w:color w:val="000000"/>
              </w:rPr>
            </w:pPr>
            <w:r w:rsidRPr="00244C91">
              <w:rPr>
                <w:color w:val="000000"/>
              </w:rPr>
              <w:t xml:space="preserve">Mobile-phone text messaging (SMS) for providing oral health education to mothers of preschool children in Belgaum City </w:t>
            </w:r>
          </w:p>
        </w:tc>
        <w:tc>
          <w:tcPr>
            <w:tcW w:w="2126" w:type="dxa"/>
            <w:vAlign w:val="center"/>
          </w:tcPr>
          <w:p w:rsidR="00BA6265" w:rsidRPr="00244C91" w:rsidRDefault="00BA6265" w:rsidP="00B426AB">
            <w:pPr>
              <w:spacing w:before="60" w:after="60"/>
              <w:rPr>
                <w:color w:val="000000"/>
              </w:rPr>
            </w:pPr>
            <w:r w:rsidRPr="00F17749">
              <w:rPr>
                <w:color w:val="000000"/>
              </w:rPr>
              <w:t xml:space="preserve">Journal of Telemedicine and </w:t>
            </w:r>
            <w:proofErr w:type="spellStart"/>
            <w:r w:rsidRPr="00F17749">
              <w:rPr>
                <w:color w:val="000000"/>
              </w:rPr>
              <w:t>Telecare</w:t>
            </w:r>
            <w:proofErr w:type="spellEnd"/>
            <w:r>
              <w:rPr>
                <w:color w:val="000000"/>
              </w:rPr>
              <w:t>,</w:t>
            </w:r>
            <w:r w:rsidRPr="00F17749">
              <w:rPr>
                <w:color w:val="000000"/>
              </w:rPr>
              <w:t xml:space="preserve"> </w:t>
            </w:r>
            <w:r w:rsidRPr="00244C91">
              <w:rPr>
                <w:color w:val="000000"/>
              </w:rPr>
              <w:t>Volume: 17   Issue: 8   Pages: 432-436</w:t>
            </w:r>
          </w:p>
        </w:tc>
        <w:tc>
          <w:tcPr>
            <w:tcW w:w="3827" w:type="dxa"/>
            <w:vAlign w:val="center"/>
          </w:tcPr>
          <w:p w:rsidR="00BA6265" w:rsidRPr="00244C91" w:rsidRDefault="00BA6265" w:rsidP="00B426AB">
            <w:pPr>
              <w:spacing w:before="60" w:after="60"/>
              <w:rPr>
                <w:color w:val="000000"/>
              </w:rPr>
            </w:pPr>
            <w:r w:rsidRPr="00244C91">
              <w:rPr>
                <w:color w:val="000000"/>
              </w:rPr>
              <w:t>Randomised Controlled Trial.</w:t>
            </w:r>
          </w:p>
          <w:p w:rsidR="00BA6265" w:rsidRPr="00244C91" w:rsidRDefault="00BA6265" w:rsidP="00B426AB">
            <w:pPr>
              <w:spacing w:before="60" w:after="60"/>
              <w:rPr>
                <w:color w:val="000000"/>
              </w:rPr>
            </w:pPr>
            <w:r w:rsidRPr="00244C91">
              <w:rPr>
                <w:color w:val="000000"/>
              </w:rPr>
              <w:t>Study context: India</w:t>
            </w:r>
          </w:p>
          <w:p w:rsidR="00BA6265" w:rsidRPr="00244C91" w:rsidRDefault="00BA6265" w:rsidP="006856D9">
            <w:pPr>
              <w:spacing w:before="60" w:after="60"/>
              <w:rPr>
                <w:color w:val="000000"/>
              </w:rPr>
            </w:pPr>
            <w:r w:rsidRPr="00244C91">
              <w:rPr>
                <w:color w:val="000000"/>
              </w:rPr>
              <w:t xml:space="preserve">150 children randomised to text message group or the pamphlets group. 3 text messages per day sent and 3 pamphlets sent home with </w:t>
            </w:r>
            <w:r w:rsidRPr="00244C91">
              <w:rPr>
                <w:color w:val="000000"/>
              </w:rPr>
              <w:lastRenderedPageBreak/>
              <w:t>children each day. Messages were repeated weekly. Study conducted over 4 wks.3 out of 8 study quality measures</w:t>
            </w:r>
            <w:r w:rsidRPr="00244C91">
              <w:rPr>
                <w:color w:val="000000"/>
                <w:vertAlign w:val="superscript"/>
              </w:rPr>
              <w:t>1</w:t>
            </w:r>
            <w:r w:rsidRPr="00244C91">
              <w:rPr>
                <w:color w:val="000000"/>
              </w:rPr>
              <w:t xml:space="preserve"> clearly met.</w:t>
            </w:r>
          </w:p>
        </w:tc>
        <w:tc>
          <w:tcPr>
            <w:tcW w:w="3891" w:type="dxa"/>
            <w:vAlign w:val="center"/>
          </w:tcPr>
          <w:p w:rsidR="00BA6265" w:rsidRPr="00244C91" w:rsidRDefault="00BA6265" w:rsidP="00B426AB">
            <w:pPr>
              <w:spacing w:before="60" w:after="60"/>
              <w:rPr>
                <w:color w:val="000000"/>
              </w:rPr>
            </w:pPr>
            <w:r w:rsidRPr="00244C91">
              <w:rPr>
                <w:color w:val="000000"/>
              </w:rPr>
              <w:lastRenderedPageBreak/>
              <w:t xml:space="preserve">143 out of 150 children and their mothers completed the study. Pamphlets group (n=72) and text message group (n=71). The Visible Plaque Index (VPI) score was not significantly different between the </w:t>
            </w:r>
            <w:r w:rsidRPr="00244C91">
              <w:rPr>
                <w:color w:val="000000"/>
              </w:rPr>
              <w:lastRenderedPageBreak/>
              <w:t>groups – Difference 1.81% (</w:t>
            </w:r>
            <w:r w:rsidRPr="00244C91">
              <w:rPr>
                <w:i/>
                <w:color w:val="000000"/>
              </w:rPr>
              <w:t>p</w:t>
            </w:r>
            <w:r w:rsidRPr="00244C91">
              <w:rPr>
                <w:color w:val="000000"/>
              </w:rPr>
              <w:t xml:space="preserve"> 0.27, 95%CI -1.39-5.01). </w:t>
            </w:r>
          </w:p>
        </w:tc>
      </w:tr>
      <w:tr w:rsidR="00BA6265" w:rsidRPr="00244C91" w:rsidTr="00B426AB">
        <w:trPr>
          <w:trHeight w:val="2142"/>
          <w:jc w:val="center"/>
        </w:trPr>
        <w:tc>
          <w:tcPr>
            <w:tcW w:w="1653" w:type="dxa"/>
            <w:vAlign w:val="center"/>
          </w:tcPr>
          <w:p w:rsidR="00BA6265" w:rsidRPr="00244C91" w:rsidRDefault="00BA6265" w:rsidP="00B426AB">
            <w:pPr>
              <w:spacing w:before="60" w:after="60"/>
              <w:rPr>
                <w:lang w:val="nl-NL"/>
              </w:rPr>
            </w:pPr>
            <w:r w:rsidRPr="00F17749">
              <w:rPr>
                <w:lang w:val="nl-NL"/>
              </w:rPr>
              <w:lastRenderedPageBreak/>
              <w:t>Strandbygaard U, Thomsen SF, Backer V.</w:t>
            </w:r>
          </w:p>
        </w:tc>
        <w:tc>
          <w:tcPr>
            <w:tcW w:w="708" w:type="dxa"/>
            <w:vAlign w:val="center"/>
          </w:tcPr>
          <w:p w:rsidR="00BA6265" w:rsidRPr="00244C91" w:rsidRDefault="00BA6265" w:rsidP="00B426AB">
            <w:pPr>
              <w:spacing w:before="60" w:after="60"/>
              <w:jc w:val="right"/>
              <w:rPr>
                <w:color w:val="000000"/>
              </w:rPr>
            </w:pPr>
            <w:r w:rsidRPr="00244C91">
              <w:rPr>
                <w:color w:val="000000"/>
              </w:rPr>
              <w:t>2010</w:t>
            </w:r>
          </w:p>
        </w:tc>
        <w:tc>
          <w:tcPr>
            <w:tcW w:w="2552" w:type="dxa"/>
            <w:vAlign w:val="center"/>
          </w:tcPr>
          <w:p w:rsidR="00BA6265" w:rsidRPr="00244C91" w:rsidRDefault="00BA6265" w:rsidP="00B426AB">
            <w:pPr>
              <w:spacing w:before="60" w:after="60"/>
              <w:rPr>
                <w:color w:val="000000"/>
              </w:rPr>
            </w:pPr>
            <w:r w:rsidRPr="00244C91">
              <w:rPr>
                <w:color w:val="000000"/>
              </w:rPr>
              <w:t>A daily SMS reminder increases adherence to asthma treatment: a three-month follow-up study.</w:t>
            </w:r>
          </w:p>
        </w:tc>
        <w:tc>
          <w:tcPr>
            <w:tcW w:w="2126" w:type="dxa"/>
            <w:vAlign w:val="center"/>
          </w:tcPr>
          <w:p w:rsidR="00BA6265" w:rsidRPr="00244C91" w:rsidRDefault="00BA6265" w:rsidP="00B426AB">
            <w:pPr>
              <w:spacing w:before="60" w:after="60"/>
              <w:rPr>
                <w:color w:val="000000"/>
              </w:rPr>
            </w:pPr>
            <w:r w:rsidRPr="00F17749">
              <w:rPr>
                <w:color w:val="000000"/>
              </w:rPr>
              <w:t>Respiratory Medicine</w:t>
            </w:r>
            <w:r>
              <w:rPr>
                <w:color w:val="000000"/>
              </w:rPr>
              <w:t xml:space="preserve">, </w:t>
            </w:r>
            <w:r w:rsidRPr="00244C91">
              <w:rPr>
                <w:color w:val="000000"/>
              </w:rPr>
              <w:t>2010 Feb;104(2):166-71.</w:t>
            </w:r>
          </w:p>
        </w:tc>
        <w:tc>
          <w:tcPr>
            <w:tcW w:w="3827" w:type="dxa"/>
            <w:vAlign w:val="center"/>
          </w:tcPr>
          <w:p w:rsidR="00BA6265" w:rsidRPr="00244C91" w:rsidRDefault="00BA6265" w:rsidP="00B426AB">
            <w:pPr>
              <w:spacing w:before="60" w:after="60"/>
              <w:rPr>
                <w:color w:val="000000"/>
              </w:rPr>
            </w:pPr>
            <w:r w:rsidRPr="00244C91">
              <w:rPr>
                <w:color w:val="000000"/>
              </w:rPr>
              <w:t xml:space="preserve">Randomised Controlled Trial. Study context: Denmark 26 participants randomised to SMS reminder or Control. Reminders sent 10am daily. </w:t>
            </w:r>
          </w:p>
          <w:p w:rsidR="00BA6265" w:rsidRPr="00244C91" w:rsidRDefault="00BA6265" w:rsidP="00B426AB">
            <w:pPr>
              <w:spacing w:before="60" w:after="60"/>
              <w:rPr>
                <w:color w:val="000000"/>
              </w:rPr>
            </w:pPr>
            <w:r w:rsidRPr="00244C91">
              <w:rPr>
                <w:color w:val="000000"/>
              </w:rPr>
              <w:t xml:space="preserve">Study conducted over 12 wks. </w:t>
            </w:r>
          </w:p>
          <w:p w:rsidR="00BA6265" w:rsidRPr="00244C91" w:rsidRDefault="00BA6265" w:rsidP="00B426AB">
            <w:pPr>
              <w:spacing w:before="60" w:after="60"/>
              <w:rPr>
                <w:color w:val="000000"/>
              </w:rPr>
            </w:pPr>
            <w:r w:rsidRPr="00244C91">
              <w:rPr>
                <w:color w:val="000000"/>
              </w:rPr>
              <w:t>4 out of 8 study quality measures</w:t>
            </w:r>
            <w:r w:rsidRPr="00244C91">
              <w:rPr>
                <w:color w:val="000000"/>
                <w:vertAlign w:val="superscript"/>
              </w:rPr>
              <w:t xml:space="preserve">1 </w:t>
            </w:r>
            <w:r w:rsidRPr="00244C91">
              <w:rPr>
                <w:color w:val="000000"/>
              </w:rPr>
              <w:t>clearly met.</w:t>
            </w:r>
          </w:p>
        </w:tc>
        <w:tc>
          <w:tcPr>
            <w:tcW w:w="3891" w:type="dxa"/>
            <w:vAlign w:val="center"/>
          </w:tcPr>
          <w:p w:rsidR="00BA6265" w:rsidRPr="00244C91" w:rsidRDefault="00BA6265" w:rsidP="00B426AB">
            <w:pPr>
              <w:spacing w:before="60" w:after="60"/>
              <w:rPr>
                <w:color w:val="000000"/>
              </w:rPr>
            </w:pPr>
            <w:r w:rsidRPr="00244C91">
              <w:rPr>
                <w:color w:val="000000"/>
              </w:rPr>
              <w:t xml:space="preserve">22 of 26 participants completed the study (Intervention n=12, Control n=14). Analysis not by intention-to-treat. The absolute difference in mean adherence rate between the 2 groups after 12 weeks was 18%, (95% CI 3 - 32.%, </w:t>
            </w:r>
            <w:r w:rsidRPr="00244C91">
              <w:rPr>
                <w:i/>
                <w:color w:val="000000"/>
              </w:rPr>
              <w:t>p</w:t>
            </w:r>
            <w:r w:rsidRPr="00244C91">
              <w:rPr>
                <w:color w:val="000000"/>
              </w:rPr>
              <w:t xml:space="preserve"> = 0.019)</w:t>
            </w:r>
          </w:p>
        </w:tc>
      </w:tr>
      <w:tr w:rsidR="00BA6265" w:rsidRPr="00244C91" w:rsidTr="00B426AB">
        <w:trPr>
          <w:trHeight w:val="2700"/>
          <w:jc w:val="center"/>
        </w:trPr>
        <w:tc>
          <w:tcPr>
            <w:tcW w:w="1653" w:type="dxa"/>
            <w:vAlign w:val="center"/>
          </w:tcPr>
          <w:p w:rsidR="00BA6265" w:rsidRPr="00244C91" w:rsidRDefault="00BA6265" w:rsidP="00B426AB">
            <w:pPr>
              <w:spacing w:before="60" w:after="60"/>
              <w:rPr>
                <w:color w:val="000000"/>
              </w:rPr>
            </w:pPr>
            <w:r w:rsidRPr="00F17749">
              <w:rPr>
                <w:color w:val="000000"/>
              </w:rPr>
              <w:t xml:space="preserve">Ting TV, </w:t>
            </w:r>
            <w:proofErr w:type="spellStart"/>
            <w:r w:rsidRPr="00F17749">
              <w:rPr>
                <w:color w:val="000000"/>
              </w:rPr>
              <w:t>Kudalkar</w:t>
            </w:r>
            <w:proofErr w:type="spellEnd"/>
            <w:r w:rsidRPr="00F17749">
              <w:rPr>
                <w:color w:val="000000"/>
              </w:rPr>
              <w:t xml:space="preserve"> D, Nelson S, Cortina S, </w:t>
            </w:r>
            <w:proofErr w:type="spellStart"/>
            <w:r w:rsidRPr="00F17749">
              <w:rPr>
                <w:color w:val="000000"/>
              </w:rPr>
              <w:t>Pendl</w:t>
            </w:r>
            <w:proofErr w:type="spellEnd"/>
            <w:r w:rsidRPr="00F17749">
              <w:rPr>
                <w:color w:val="000000"/>
              </w:rPr>
              <w:t xml:space="preserve"> J, </w:t>
            </w:r>
            <w:proofErr w:type="spellStart"/>
            <w:r w:rsidRPr="00F17749">
              <w:rPr>
                <w:color w:val="000000"/>
              </w:rPr>
              <w:t>Budhani</w:t>
            </w:r>
            <w:proofErr w:type="spellEnd"/>
            <w:r w:rsidRPr="00F17749">
              <w:rPr>
                <w:color w:val="000000"/>
              </w:rPr>
              <w:t xml:space="preserve"> S, Neville J, Taylor J, Huggins J, </w:t>
            </w:r>
            <w:proofErr w:type="spellStart"/>
            <w:r w:rsidRPr="00F17749">
              <w:rPr>
                <w:color w:val="000000"/>
              </w:rPr>
              <w:t>Drotar</w:t>
            </w:r>
            <w:proofErr w:type="spellEnd"/>
            <w:r w:rsidRPr="00F17749">
              <w:rPr>
                <w:color w:val="000000"/>
              </w:rPr>
              <w:t xml:space="preserve"> D, Brunner HI.</w:t>
            </w:r>
          </w:p>
        </w:tc>
        <w:tc>
          <w:tcPr>
            <w:tcW w:w="708" w:type="dxa"/>
            <w:vAlign w:val="center"/>
          </w:tcPr>
          <w:p w:rsidR="00BA6265" w:rsidRPr="00244C91" w:rsidRDefault="00BA6265" w:rsidP="00B426AB">
            <w:pPr>
              <w:spacing w:before="60" w:after="60"/>
              <w:jc w:val="right"/>
              <w:rPr>
                <w:color w:val="000000"/>
              </w:rPr>
            </w:pPr>
            <w:r w:rsidRPr="00244C91">
              <w:rPr>
                <w:color w:val="000000"/>
              </w:rPr>
              <w:t>2012</w:t>
            </w:r>
          </w:p>
        </w:tc>
        <w:tc>
          <w:tcPr>
            <w:tcW w:w="2552" w:type="dxa"/>
            <w:vAlign w:val="center"/>
          </w:tcPr>
          <w:p w:rsidR="00BA6265" w:rsidRPr="00244C91" w:rsidRDefault="00BA6265" w:rsidP="00B426AB">
            <w:pPr>
              <w:spacing w:before="60" w:after="60"/>
              <w:rPr>
                <w:color w:val="000000"/>
              </w:rPr>
            </w:pPr>
            <w:r w:rsidRPr="00244C91">
              <w:rPr>
                <w:color w:val="000000"/>
              </w:rPr>
              <w:t xml:space="preserve">Usefulness of cellular text messaging for improving adherence among adolescents and young adults with systemic lupus </w:t>
            </w:r>
            <w:proofErr w:type="spellStart"/>
            <w:r w:rsidRPr="00244C91">
              <w:rPr>
                <w:color w:val="000000"/>
              </w:rPr>
              <w:t>erythematosus</w:t>
            </w:r>
            <w:proofErr w:type="spellEnd"/>
          </w:p>
        </w:tc>
        <w:tc>
          <w:tcPr>
            <w:tcW w:w="2126" w:type="dxa"/>
            <w:vAlign w:val="center"/>
          </w:tcPr>
          <w:p w:rsidR="00BA6265" w:rsidRPr="00244C91" w:rsidRDefault="00BA6265" w:rsidP="00B426AB">
            <w:pPr>
              <w:spacing w:before="60" w:after="60"/>
              <w:rPr>
                <w:color w:val="000000"/>
              </w:rPr>
            </w:pPr>
            <w:r w:rsidRPr="00F17749">
              <w:rPr>
                <w:color w:val="000000"/>
              </w:rPr>
              <w:t>The Journal of Rheumatology</w:t>
            </w:r>
            <w:r>
              <w:rPr>
                <w:color w:val="000000"/>
              </w:rPr>
              <w:t>,</w:t>
            </w:r>
            <w:r w:rsidRPr="00F17749">
              <w:rPr>
                <w:color w:val="000000"/>
              </w:rPr>
              <w:t xml:space="preserve"> </w:t>
            </w:r>
            <w:r w:rsidRPr="00244C91">
              <w:rPr>
                <w:color w:val="000000"/>
              </w:rPr>
              <w:t>2012 39:1 (174-179)</w:t>
            </w:r>
          </w:p>
        </w:tc>
        <w:tc>
          <w:tcPr>
            <w:tcW w:w="3827" w:type="dxa"/>
            <w:vAlign w:val="center"/>
          </w:tcPr>
          <w:p w:rsidR="00BA6265" w:rsidRPr="00244C91" w:rsidRDefault="00BA6265" w:rsidP="00B426AB">
            <w:pPr>
              <w:spacing w:before="60" w:after="60"/>
              <w:rPr>
                <w:color w:val="000000"/>
              </w:rPr>
            </w:pPr>
            <w:r w:rsidRPr="00244C91">
              <w:rPr>
                <w:color w:val="000000"/>
              </w:rPr>
              <w:t>Large study with sub-study. i) Observational study: visit adherence SMS intervention (n=70, 7% (n=5) male) – observational study; SMS sent to all participants 7 days, 3 days, and 1 day prior to each scheduled follow-up clinic appointment.</w:t>
            </w:r>
          </w:p>
          <w:p w:rsidR="00BA6265" w:rsidRPr="00244C91" w:rsidRDefault="00BA6265" w:rsidP="006856D9">
            <w:pPr>
              <w:spacing w:before="60" w:after="60"/>
              <w:rPr>
                <w:color w:val="000000"/>
              </w:rPr>
            </w:pPr>
            <w:r w:rsidRPr="00244C91">
              <w:rPr>
                <w:color w:val="000000"/>
              </w:rPr>
              <w:t>ii) RCT: medication (1 medication type) adherence SMS intervention involving subgroup of participants (n=41). Randomised to SMS group (n=19) and Standard of Care (SOC) (n=22).  SMS group received a standardised daily SMS for HCQ medication as prescribed in addition to the printed information sheet given to the SOC group.</w:t>
            </w:r>
            <w:r>
              <w:rPr>
                <w:color w:val="000000"/>
              </w:rPr>
              <w:t xml:space="preserve"> </w:t>
            </w:r>
            <w:r w:rsidRPr="00244C91">
              <w:rPr>
                <w:color w:val="000000"/>
              </w:rPr>
              <w:t xml:space="preserve">Study conducted over 14 </w:t>
            </w:r>
            <w:proofErr w:type="spellStart"/>
            <w:r w:rsidRPr="00244C91">
              <w:rPr>
                <w:color w:val="000000"/>
              </w:rPr>
              <w:t>mths</w:t>
            </w:r>
            <w:proofErr w:type="spellEnd"/>
            <w:r>
              <w:rPr>
                <w:color w:val="000000"/>
              </w:rPr>
              <w:t xml:space="preserve"> </w:t>
            </w:r>
            <w:r w:rsidRPr="00244C91">
              <w:rPr>
                <w:color w:val="000000"/>
              </w:rPr>
              <w:t>2 out of 8 study quality measures</w:t>
            </w:r>
            <w:r w:rsidRPr="00244C91">
              <w:rPr>
                <w:color w:val="000000"/>
                <w:sz w:val="20"/>
                <w:szCs w:val="20"/>
                <w:vertAlign w:val="superscript"/>
              </w:rPr>
              <w:t>1</w:t>
            </w:r>
            <w:r w:rsidRPr="00244C91">
              <w:rPr>
                <w:color w:val="000000"/>
              </w:rPr>
              <w:t xml:space="preserve"> clearly met.</w:t>
            </w:r>
          </w:p>
        </w:tc>
        <w:tc>
          <w:tcPr>
            <w:tcW w:w="3891" w:type="dxa"/>
            <w:vAlign w:val="center"/>
          </w:tcPr>
          <w:p w:rsidR="00BA6265" w:rsidRPr="00244C91" w:rsidRDefault="00BA6265" w:rsidP="00B426AB">
            <w:pPr>
              <w:spacing w:before="60" w:after="60"/>
              <w:rPr>
                <w:color w:val="000000"/>
              </w:rPr>
            </w:pPr>
            <w:r w:rsidRPr="00244C91">
              <w:rPr>
                <w:color w:val="000000"/>
              </w:rPr>
              <w:t>No patients with adherence &gt;80% - SOC n=6 (27%), SMS n=7 (37%)</w:t>
            </w:r>
          </w:p>
          <w:p w:rsidR="00BA6265" w:rsidRPr="00244C91" w:rsidRDefault="00BA6265" w:rsidP="00B426AB">
            <w:pPr>
              <w:spacing w:before="60" w:after="60"/>
              <w:rPr>
                <w:color w:val="000000"/>
              </w:rPr>
            </w:pPr>
            <w:r w:rsidRPr="00244C91">
              <w:rPr>
                <w:color w:val="000000"/>
              </w:rPr>
              <w:t xml:space="preserve">Serum HCQ levels SOC mean = 0.46 (SD 0.55), SMS mean = 0.64 (SD 0.45), Total participants (n=41) mean = 0.54 (SD 0.51). With blood levels of HCQ </w:t>
            </w:r>
            <w:r w:rsidRPr="00244C91">
              <w:rPr>
                <w:rFonts w:ascii="Arial" w:hAnsi="Arial" w:cs="Arial"/>
                <w:color w:val="000000"/>
              </w:rPr>
              <w:t>≥</w:t>
            </w:r>
            <w:r w:rsidRPr="00244C91">
              <w:rPr>
                <w:color w:val="000000"/>
              </w:rPr>
              <w:t xml:space="preserve"> 900mg/ml reflecting adequate exposure to HCQ 10 out of 41 (25%) participants had sufficiently high levels. 12 out of 41 (29%) participants had undetectable levels. Mean </w:t>
            </w:r>
            <w:proofErr w:type="spellStart"/>
            <w:r w:rsidRPr="00244C91">
              <w:rPr>
                <w:color w:val="000000"/>
              </w:rPr>
              <w:t>self reported</w:t>
            </w:r>
            <w:proofErr w:type="spellEnd"/>
            <w:r w:rsidRPr="00244C91">
              <w:rPr>
                <w:color w:val="000000"/>
              </w:rPr>
              <w:t xml:space="preserve"> adherence rates across both groups were 80% (SD 20%).</w:t>
            </w:r>
          </w:p>
          <w:p w:rsidR="00BA6265" w:rsidRPr="00244C91" w:rsidRDefault="00BA6265" w:rsidP="00B426AB">
            <w:pPr>
              <w:spacing w:before="60" w:after="60"/>
              <w:rPr>
                <w:color w:val="000000"/>
              </w:rPr>
            </w:pPr>
            <w:r w:rsidRPr="00244C91">
              <w:rPr>
                <w:color w:val="000000"/>
              </w:rPr>
              <w:t>Cellular text message reminders (CTMR) did not influence adherence to HCQ medication over time.</w:t>
            </w:r>
          </w:p>
        </w:tc>
      </w:tr>
    </w:tbl>
    <w:p w:rsidR="00BA6265" w:rsidRPr="00244C91" w:rsidRDefault="00BA6265" w:rsidP="006856D9">
      <w:pPr>
        <w:rPr>
          <w:sz w:val="20"/>
          <w:szCs w:val="20"/>
          <w:vertAlign w:val="superscript"/>
        </w:rPr>
      </w:pPr>
    </w:p>
    <w:p w:rsidR="00BA6265" w:rsidRPr="00244C91" w:rsidRDefault="00BA6265" w:rsidP="006856D9">
      <w:pPr>
        <w:rPr>
          <w:rFonts w:ascii="Calibri" w:hAnsi="Calibri"/>
          <w:b/>
          <w:bCs/>
          <w:caps/>
          <w:sz w:val="16"/>
          <w:szCs w:val="18"/>
          <w:lang w:val="en-US"/>
        </w:rPr>
      </w:pPr>
      <w:r w:rsidRPr="00244C91">
        <w:rPr>
          <w:sz w:val="20"/>
          <w:szCs w:val="20"/>
          <w:vertAlign w:val="superscript"/>
        </w:rPr>
        <w:t>1</w:t>
      </w:r>
      <w:r w:rsidRPr="00244C91">
        <w:rPr>
          <w:sz w:val="20"/>
          <w:szCs w:val="20"/>
        </w:rPr>
        <w:t xml:space="preserve"> Eight quality measures include; randomised; concealment of allocation; used appropriate controls; follow-up of patients or episodes of care; blinded assessment of 1º outcome; baseline measurement; reliable primary outcome measure; protection against contamination.</w:t>
      </w:r>
    </w:p>
    <w:sectPr w:rsidR="00BA6265" w:rsidRPr="00244C91" w:rsidSect="00A601EF">
      <w:pgSz w:w="16840" w:h="11900" w:orient="landscape"/>
      <w:pgMar w:top="991"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295" w:rsidRDefault="00DB0295">
      <w:r>
        <w:separator/>
      </w:r>
    </w:p>
  </w:endnote>
  <w:endnote w:type="continuationSeparator" w:id="0">
    <w:p w:rsidR="00DB0295" w:rsidRDefault="00DB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 Pro W3">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95" w:rsidRDefault="00DB02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95" w:rsidRDefault="00DB0295" w:rsidP="00A961E4">
    <w:pPr>
      <w:pStyle w:val="Footer"/>
      <w:pBdr>
        <w:top w:val="thinThickSmallGap" w:sz="24" w:space="1" w:color="622423"/>
      </w:pBdr>
      <w:jc w:val="right"/>
      <w:rPr>
        <w:rFonts w:ascii="Cambria" w:hAnsi="Cambria"/>
      </w:rPr>
    </w:pPr>
    <w:r>
      <w:fldChar w:fldCharType="begin"/>
    </w:r>
    <w:r>
      <w:instrText xml:space="preserve"> PAGE   \* MERGEFORMAT </w:instrText>
    </w:r>
    <w:r>
      <w:fldChar w:fldCharType="separate"/>
    </w:r>
    <w:r w:rsidR="00C50EC1" w:rsidRPr="00C50EC1">
      <w:rPr>
        <w:rFonts w:ascii="Cambria" w:hAnsi="Cambria"/>
        <w:noProof/>
      </w:rPr>
      <w:t>16</w:t>
    </w:r>
    <w:r>
      <w:rPr>
        <w:rFonts w:ascii="Cambria" w:hAnsi="Cambria"/>
        <w:noProof/>
      </w:rPr>
      <w:fldChar w:fldCharType="end"/>
    </w:r>
  </w:p>
  <w:p w:rsidR="00DB0295" w:rsidRPr="00AD6AEC" w:rsidRDefault="00DB0295" w:rsidP="00A961E4">
    <w:pPr>
      <w:pStyle w:val="Footer"/>
      <w:tabs>
        <w:tab w:val="clear" w:pos="4153"/>
        <w:tab w:val="clear" w:pos="8306"/>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95" w:rsidRDefault="00DB0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295" w:rsidRDefault="00DB0295">
      <w:r>
        <w:separator/>
      </w:r>
    </w:p>
  </w:footnote>
  <w:footnote w:type="continuationSeparator" w:id="0">
    <w:p w:rsidR="00DB0295" w:rsidRDefault="00DB0295">
      <w:r>
        <w:continuationSeparator/>
      </w:r>
    </w:p>
  </w:footnote>
  <w:footnote w:id="1">
    <w:p w:rsidR="00DB0295" w:rsidRDefault="00DB0295" w:rsidP="007A52B1">
      <w:pPr>
        <w:pStyle w:val="FootnoteText"/>
      </w:pPr>
      <w:r w:rsidRPr="00C07429">
        <w:rPr>
          <w:rStyle w:val="FootnoteReference"/>
          <w:sz w:val="20"/>
          <w:szCs w:val="20"/>
        </w:rPr>
        <w:footnoteRef/>
      </w:r>
      <w:r w:rsidRPr="00C07429">
        <w:rPr>
          <w:sz w:val="20"/>
          <w:szCs w:val="20"/>
        </w:rPr>
        <w:t xml:space="preserve"> Child Health Division, Menzies School of Health Research, Charles Darwin University, Darwin, Northern Territory, Australia</w:t>
      </w:r>
    </w:p>
  </w:footnote>
  <w:footnote w:id="2">
    <w:p w:rsidR="00DB0295" w:rsidRDefault="00DB0295" w:rsidP="007A52B1">
      <w:r w:rsidRPr="00C07429">
        <w:rPr>
          <w:rStyle w:val="FootnoteReference"/>
          <w:sz w:val="20"/>
          <w:szCs w:val="20"/>
        </w:rPr>
        <w:footnoteRef/>
      </w:r>
      <w:r w:rsidRPr="00C07429">
        <w:rPr>
          <w:sz w:val="20"/>
          <w:szCs w:val="20"/>
        </w:rPr>
        <w:t xml:space="preserve"> </w:t>
      </w:r>
      <w:proofErr w:type="gramStart"/>
      <w:r w:rsidRPr="00C07429">
        <w:rPr>
          <w:sz w:val="20"/>
          <w:szCs w:val="20"/>
        </w:rPr>
        <w:t>Royal Darwin Hospital, Darwin, Northern Territory, Australia.</w:t>
      </w:r>
      <w:proofErr w:type="gramEnd"/>
    </w:p>
  </w:footnote>
  <w:footnote w:id="3">
    <w:p w:rsidR="00DB0295" w:rsidRDefault="00DB0295" w:rsidP="007A52B1">
      <w:pPr>
        <w:pStyle w:val="FootnoteText"/>
      </w:pPr>
      <w:r w:rsidRPr="00C07429">
        <w:rPr>
          <w:rStyle w:val="FootnoteReference"/>
          <w:sz w:val="20"/>
          <w:szCs w:val="20"/>
        </w:rPr>
        <w:footnoteRef/>
      </w:r>
      <w:r w:rsidRPr="00C07429">
        <w:rPr>
          <w:sz w:val="20"/>
          <w:szCs w:val="20"/>
          <w:lang w:val="nl-NL"/>
        </w:rPr>
        <w:t>University of Sydney</w:t>
      </w:r>
    </w:p>
  </w:footnote>
  <w:footnote w:id="4">
    <w:p w:rsidR="00DB0295" w:rsidRDefault="00DB0295" w:rsidP="00AF1618">
      <w:pPr>
        <w:pStyle w:val="FootnoteText"/>
      </w:pPr>
      <w:r w:rsidRPr="00740083">
        <w:rPr>
          <w:rStyle w:val="FootnoteReference"/>
          <w:sz w:val="22"/>
          <w:szCs w:val="22"/>
        </w:rPr>
        <w:footnoteRef/>
      </w:r>
      <w:r w:rsidRPr="00740083">
        <w:rPr>
          <w:sz w:val="22"/>
          <w:szCs w:val="22"/>
        </w:rPr>
        <w:t xml:space="preserve"> </w:t>
      </w:r>
      <w:proofErr w:type="gramStart"/>
      <w:r w:rsidRPr="00740083">
        <w:rPr>
          <w:sz w:val="22"/>
          <w:szCs w:val="22"/>
        </w:rPr>
        <w:t>Acute otitis media with perforation.</w:t>
      </w:r>
      <w:proofErr w:type="gramEnd"/>
    </w:p>
  </w:footnote>
  <w:footnote w:id="5">
    <w:p w:rsidR="00DB0295" w:rsidRDefault="00DB0295" w:rsidP="00AF1618">
      <w:pPr>
        <w:pStyle w:val="FootnoteText"/>
      </w:pPr>
      <w:r w:rsidRPr="00740083">
        <w:rPr>
          <w:rStyle w:val="FootnoteReference"/>
          <w:sz w:val="22"/>
          <w:szCs w:val="22"/>
        </w:rPr>
        <w:footnoteRef/>
      </w:r>
      <w:r w:rsidRPr="00740083">
        <w:rPr>
          <w:sz w:val="22"/>
          <w:szCs w:val="22"/>
        </w:rPr>
        <w:t xml:space="preserve"> </w:t>
      </w:r>
      <w:proofErr w:type="gramStart"/>
      <w:r w:rsidRPr="00740083">
        <w:rPr>
          <w:sz w:val="22"/>
          <w:szCs w:val="22"/>
        </w:rPr>
        <w:t xml:space="preserve">Chronic </w:t>
      </w:r>
      <w:proofErr w:type="spellStart"/>
      <w:r w:rsidRPr="00740083">
        <w:rPr>
          <w:sz w:val="22"/>
          <w:szCs w:val="22"/>
        </w:rPr>
        <w:t>suppurative</w:t>
      </w:r>
      <w:proofErr w:type="spellEnd"/>
      <w:r w:rsidRPr="00740083">
        <w:rPr>
          <w:sz w:val="22"/>
          <w:szCs w:val="22"/>
        </w:rPr>
        <w:t xml:space="preserve"> otitis media.</w:t>
      </w:r>
      <w:proofErr w:type="gramEnd"/>
    </w:p>
  </w:footnote>
  <w:footnote w:id="6">
    <w:p w:rsidR="00DB0295" w:rsidRDefault="00DB0295" w:rsidP="00740083">
      <w:pPr>
        <w:pStyle w:val="FootnoteText"/>
      </w:pPr>
      <w:r w:rsidRPr="00740083">
        <w:rPr>
          <w:rStyle w:val="FootnoteReference"/>
          <w:sz w:val="22"/>
          <w:szCs w:val="22"/>
        </w:rPr>
        <w:footnoteRef/>
      </w:r>
      <w:r w:rsidRPr="00740083">
        <w:rPr>
          <w:sz w:val="22"/>
          <w:szCs w:val="22"/>
        </w:rPr>
        <w:t xml:space="preserve"> </w:t>
      </w:r>
      <w:proofErr w:type="gramStart"/>
      <w:r w:rsidRPr="00740083">
        <w:rPr>
          <w:sz w:val="22"/>
          <w:szCs w:val="22"/>
        </w:rPr>
        <w:t>Acute otitis media with perforation.</w:t>
      </w:r>
      <w:proofErr w:type="gramEnd"/>
    </w:p>
  </w:footnote>
  <w:footnote w:id="7">
    <w:p w:rsidR="00DB0295" w:rsidRDefault="00DB0295" w:rsidP="00740083">
      <w:pPr>
        <w:pStyle w:val="FootnoteText"/>
      </w:pPr>
      <w:r w:rsidRPr="00740083">
        <w:rPr>
          <w:rStyle w:val="FootnoteReference"/>
          <w:sz w:val="22"/>
          <w:szCs w:val="22"/>
        </w:rPr>
        <w:footnoteRef/>
      </w:r>
      <w:r w:rsidRPr="00740083">
        <w:rPr>
          <w:sz w:val="22"/>
          <w:szCs w:val="22"/>
        </w:rPr>
        <w:t xml:space="preserve"> </w:t>
      </w:r>
      <w:proofErr w:type="gramStart"/>
      <w:r w:rsidRPr="00740083">
        <w:rPr>
          <w:sz w:val="22"/>
          <w:szCs w:val="22"/>
        </w:rPr>
        <w:t>Dry perforation.</w:t>
      </w:r>
      <w:proofErr w:type="gramEnd"/>
    </w:p>
  </w:footnote>
  <w:footnote w:id="8">
    <w:p w:rsidR="00DB0295" w:rsidRDefault="00DB0295" w:rsidP="00740083">
      <w:pPr>
        <w:pStyle w:val="FootnoteText"/>
      </w:pPr>
      <w:r w:rsidRPr="00740083">
        <w:rPr>
          <w:rStyle w:val="FootnoteReference"/>
          <w:sz w:val="22"/>
          <w:szCs w:val="22"/>
        </w:rPr>
        <w:footnoteRef/>
      </w:r>
      <w:r w:rsidRPr="00740083">
        <w:rPr>
          <w:sz w:val="22"/>
          <w:szCs w:val="22"/>
        </w:rPr>
        <w:t xml:space="preserve"> Chronic </w:t>
      </w:r>
      <w:proofErr w:type="spellStart"/>
      <w:r w:rsidRPr="00740083">
        <w:rPr>
          <w:sz w:val="22"/>
          <w:szCs w:val="22"/>
        </w:rPr>
        <w:t>suppurative</w:t>
      </w:r>
      <w:proofErr w:type="spellEnd"/>
      <w:r w:rsidRPr="00740083">
        <w:rPr>
          <w:sz w:val="22"/>
          <w:szCs w:val="22"/>
        </w:rPr>
        <w:t xml:space="preserve"> otitis media.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95" w:rsidRDefault="00DB02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95" w:rsidRDefault="00DB0295" w:rsidP="00275922">
    <w:pPr>
      <w:pStyle w:val="Header"/>
      <w:jc w:val="right"/>
    </w:pPr>
    <w:r>
      <w:t>Menzies School of Health Research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95" w:rsidRDefault="00DB02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5E13E05"/>
    <w:multiLevelType w:val="hybridMultilevel"/>
    <w:tmpl w:val="283AC55E"/>
    <w:lvl w:ilvl="0" w:tplc="70B8CD16">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78518B4"/>
    <w:multiLevelType w:val="multilevel"/>
    <w:tmpl w:val="E9B69B82"/>
    <w:lvl w:ilvl="0">
      <w:start w:val="1"/>
      <w:numFmt w:val="decimal"/>
      <w:lvlText w:val="%1"/>
      <w:lvlJc w:val="left"/>
      <w:pPr>
        <w:tabs>
          <w:tab w:val="num" w:pos="1152"/>
        </w:tabs>
        <w:ind w:left="1152" w:hanging="432"/>
      </w:pPr>
      <w:rPr>
        <w:rFonts w:cs="Times New Roman" w:hint="default"/>
      </w:rPr>
    </w:lvl>
    <w:lvl w:ilvl="1">
      <w:start w:val="1"/>
      <w:numFmt w:val="decimal"/>
      <w:lvlText w:val="%1.%2"/>
      <w:lvlJc w:val="left"/>
      <w:pPr>
        <w:tabs>
          <w:tab w:val="num" w:pos="1296"/>
        </w:tabs>
        <w:ind w:left="1296" w:hanging="576"/>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584"/>
        </w:tabs>
        <w:ind w:left="1584" w:hanging="864"/>
      </w:pPr>
      <w:rPr>
        <w:rFonts w:cs="Times New Roman" w:hint="default"/>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pStyle w:val="Heading8"/>
      <w:lvlText w:val="%1.%2.%3.%4.%5.%6.%7.%8"/>
      <w:lvlJc w:val="left"/>
      <w:pPr>
        <w:tabs>
          <w:tab w:val="num" w:pos="2160"/>
        </w:tabs>
        <w:ind w:left="2160" w:hanging="1440"/>
      </w:pPr>
      <w:rPr>
        <w:rFonts w:cs="Times New Roman" w:hint="default"/>
      </w:rPr>
    </w:lvl>
    <w:lvl w:ilvl="8">
      <w:start w:val="1"/>
      <w:numFmt w:val="decimal"/>
      <w:pStyle w:val="Heading9"/>
      <w:lvlText w:val="%1.%2.%3.%4.%5.%6.%7.%8.%9"/>
      <w:lvlJc w:val="left"/>
      <w:pPr>
        <w:tabs>
          <w:tab w:val="num" w:pos="2304"/>
        </w:tabs>
        <w:ind w:left="2304" w:hanging="1584"/>
      </w:pPr>
      <w:rPr>
        <w:rFonts w:cs="Times New Roman" w:hint="default"/>
      </w:rPr>
    </w:lvl>
  </w:abstractNum>
  <w:abstractNum w:abstractNumId="3">
    <w:nsid w:val="13857E35"/>
    <w:multiLevelType w:val="hybridMultilevel"/>
    <w:tmpl w:val="8844238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B442605"/>
    <w:multiLevelType w:val="hybridMultilevel"/>
    <w:tmpl w:val="89840C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E222D36"/>
    <w:multiLevelType w:val="hybridMultilevel"/>
    <w:tmpl w:val="53740176"/>
    <w:lvl w:ilvl="0" w:tplc="9C504C3A">
      <w:start w:val="1"/>
      <w:numFmt w:val="lowerRoman"/>
      <w:lvlText w:val="(%1)"/>
      <w:lvlJc w:val="left"/>
      <w:pPr>
        <w:ind w:left="928" w:hanging="360"/>
      </w:pPr>
      <w:rPr>
        <w:rFonts w:cs="Times New Roman" w:hint="default"/>
      </w:rPr>
    </w:lvl>
    <w:lvl w:ilvl="1" w:tplc="0C090019" w:tentative="1">
      <w:start w:val="1"/>
      <w:numFmt w:val="lowerLetter"/>
      <w:lvlText w:val="%2."/>
      <w:lvlJc w:val="left"/>
      <w:pPr>
        <w:ind w:left="1648" w:hanging="360"/>
      </w:pPr>
      <w:rPr>
        <w:rFonts w:cs="Times New Roman"/>
      </w:rPr>
    </w:lvl>
    <w:lvl w:ilvl="2" w:tplc="0C09001B" w:tentative="1">
      <w:start w:val="1"/>
      <w:numFmt w:val="lowerRoman"/>
      <w:lvlText w:val="%3."/>
      <w:lvlJc w:val="right"/>
      <w:pPr>
        <w:ind w:left="2368" w:hanging="180"/>
      </w:pPr>
      <w:rPr>
        <w:rFonts w:cs="Times New Roman"/>
      </w:rPr>
    </w:lvl>
    <w:lvl w:ilvl="3" w:tplc="0C09000F" w:tentative="1">
      <w:start w:val="1"/>
      <w:numFmt w:val="decimal"/>
      <w:lvlText w:val="%4."/>
      <w:lvlJc w:val="left"/>
      <w:pPr>
        <w:ind w:left="3088" w:hanging="360"/>
      </w:pPr>
      <w:rPr>
        <w:rFonts w:cs="Times New Roman"/>
      </w:rPr>
    </w:lvl>
    <w:lvl w:ilvl="4" w:tplc="0C090019" w:tentative="1">
      <w:start w:val="1"/>
      <w:numFmt w:val="lowerLetter"/>
      <w:lvlText w:val="%5."/>
      <w:lvlJc w:val="left"/>
      <w:pPr>
        <w:ind w:left="3808" w:hanging="360"/>
      </w:pPr>
      <w:rPr>
        <w:rFonts w:cs="Times New Roman"/>
      </w:rPr>
    </w:lvl>
    <w:lvl w:ilvl="5" w:tplc="0C09001B" w:tentative="1">
      <w:start w:val="1"/>
      <w:numFmt w:val="lowerRoman"/>
      <w:lvlText w:val="%6."/>
      <w:lvlJc w:val="right"/>
      <w:pPr>
        <w:ind w:left="4528" w:hanging="180"/>
      </w:pPr>
      <w:rPr>
        <w:rFonts w:cs="Times New Roman"/>
      </w:rPr>
    </w:lvl>
    <w:lvl w:ilvl="6" w:tplc="0C09000F" w:tentative="1">
      <w:start w:val="1"/>
      <w:numFmt w:val="decimal"/>
      <w:lvlText w:val="%7."/>
      <w:lvlJc w:val="left"/>
      <w:pPr>
        <w:ind w:left="5248" w:hanging="360"/>
      </w:pPr>
      <w:rPr>
        <w:rFonts w:cs="Times New Roman"/>
      </w:rPr>
    </w:lvl>
    <w:lvl w:ilvl="7" w:tplc="0C090019" w:tentative="1">
      <w:start w:val="1"/>
      <w:numFmt w:val="lowerLetter"/>
      <w:lvlText w:val="%8."/>
      <w:lvlJc w:val="left"/>
      <w:pPr>
        <w:ind w:left="5968" w:hanging="360"/>
      </w:pPr>
      <w:rPr>
        <w:rFonts w:cs="Times New Roman"/>
      </w:rPr>
    </w:lvl>
    <w:lvl w:ilvl="8" w:tplc="0C09001B" w:tentative="1">
      <w:start w:val="1"/>
      <w:numFmt w:val="lowerRoman"/>
      <w:lvlText w:val="%9."/>
      <w:lvlJc w:val="right"/>
      <w:pPr>
        <w:ind w:left="6688" w:hanging="180"/>
      </w:pPr>
      <w:rPr>
        <w:rFonts w:cs="Times New Roman"/>
      </w:rPr>
    </w:lvl>
  </w:abstractNum>
  <w:abstractNum w:abstractNumId="6">
    <w:nsid w:val="20440165"/>
    <w:multiLevelType w:val="hybridMultilevel"/>
    <w:tmpl w:val="3F88C7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7B33084"/>
    <w:multiLevelType w:val="hybridMultilevel"/>
    <w:tmpl w:val="F656FA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DA2398F"/>
    <w:multiLevelType w:val="multilevel"/>
    <w:tmpl w:val="81E6D2F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6823F51"/>
    <w:multiLevelType w:val="hybridMultilevel"/>
    <w:tmpl w:val="75800E74"/>
    <w:lvl w:ilvl="0" w:tplc="4D7873E4">
      <w:start w:val="1"/>
      <w:numFmt w:val="decimal"/>
      <w:lvlText w:val="%1."/>
      <w:lvlJc w:val="left"/>
      <w:pPr>
        <w:ind w:left="1080" w:hanging="360"/>
      </w:pPr>
      <w:rPr>
        <w:rFonts w:eastAsia="Times New Roman" w:cs="Times New Roman" w:hint="default"/>
        <w:b/>
        <w:color w:val="00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4E5B31ED"/>
    <w:multiLevelType w:val="hybridMultilevel"/>
    <w:tmpl w:val="17BC0D1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DD44731"/>
    <w:multiLevelType w:val="hybridMultilevel"/>
    <w:tmpl w:val="9DF654A2"/>
    <w:lvl w:ilvl="0" w:tplc="3B660C2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2">
    <w:nsid w:val="5EDF4902"/>
    <w:multiLevelType w:val="hybridMultilevel"/>
    <w:tmpl w:val="B8FC26F0"/>
    <w:lvl w:ilvl="0" w:tplc="70B8CD16">
      <w:start w:val="1"/>
      <w:numFmt w:val="lowerRoman"/>
      <w:lvlText w:val="%1)"/>
      <w:lvlJc w:val="left"/>
      <w:pPr>
        <w:ind w:left="1440" w:hanging="720"/>
      </w:pPr>
      <w:rPr>
        <w:rFonts w:cs="Times New Roman" w:hint="default"/>
      </w:rPr>
    </w:lvl>
    <w:lvl w:ilvl="1" w:tplc="0B62E94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60A3185E"/>
    <w:multiLevelType w:val="multilevel"/>
    <w:tmpl w:val="AD4A6766"/>
    <w:lvl w:ilvl="0">
      <w:start w:val="1"/>
      <w:numFmt w:val="decimal"/>
      <w:lvlText w:val="%1."/>
      <w:lvlJc w:val="left"/>
      <w:pPr>
        <w:ind w:left="720" w:hanging="360"/>
      </w:pPr>
    </w:lvl>
    <w:lvl w:ilvl="1">
      <w:start w:val="1"/>
      <w:numFmt w:val="decimal"/>
      <w:isLgl/>
      <w:lvlText w:val="%1.%2."/>
      <w:lvlJc w:val="left"/>
      <w:pPr>
        <w:ind w:left="1800" w:hanging="144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2187CE6"/>
    <w:multiLevelType w:val="hybridMultilevel"/>
    <w:tmpl w:val="BA9479F4"/>
    <w:lvl w:ilvl="0" w:tplc="9C504C3A">
      <w:start w:val="1"/>
      <w:numFmt w:val="lowerRoman"/>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nsid w:val="66BB5377"/>
    <w:multiLevelType w:val="hybridMultilevel"/>
    <w:tmpl w:val="6CB836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74F0627"/>
    <w:multiLevelType w:val="hybridMultilevel"/>
    <w:tmpl w:val="C2C22466"/>
    <w:lvl w:ilvl="0" w:tplc="BAAE4A4C">
      <w:start w:val="1"/>
      <w:numFmt w:val="decimal"/>
      <w:lvlText w:val="%1."/>
      <w:lvlJc w:val="left"/>
      <w:pPr>
        <w:ind w:left="420" w:hanging="360"/>
      </w:pPr>
      <w:rPr>
        <w:rFonts w:cs="Times New Roman" w:hint="default"/>
      </w:rPr>
    </w:lvl>
    <w:lvl w:ilvl="1" w:tplc="0C090019" w:tentative="1">
      <w:start w:val="1"/>
      <w:numFmt w:val="lowerLetter"/>
      <w:lvlText w:val="%2."/>
      <w:lvlJc w:val="left"/>
      <w:pPr>
        <w:ind w:left="1140" w:hanging="360"/>
      </w:pPr>
      <w:rPr>
        <w:rFonts w:cs="Times New Roman"/>
      </w:rPr>
    </w:lvl>
    <w:lvl w:ilvl="2" w:tplc="0C09001B" w:tentative="1">
      <w:start w:val="1"/>
      <w:numFmt w:val="lowerRoman"/>
      <w:lvlText w:val="%3."/>
      <w:lvlJc w:val="right"/>
      <w:pPr>
        <w:ind w:left="1860" w:hanging="180"/>
      </w:pPr>
      <w:rPr>
        <w:rFonts w:cs="Times New Roman"/>
      </w:rPr>
    </w:lvl>
    <w:lvl w:ilvl="3" w:tplc="0C09000F" w:tentative="1">
      <w:start w:val="1"/>
      <w:numFmt w:val="decimal"/>
      <w:lvlText w:val="%4."/>
      <w:lvlJc w:val="left"/>
      <w:pPr>
        <w:ind w:left="2580" w:hanging="360"/>
      </w:pPr>
      <w:rPr>
        <w:rFonts w:cs="Times New Roman"/>
      </w:rPr>
    </w:lvl>
    <w:lvl w:ilvl="4" w:tplc="0C090019" w:tentative="1">
      <w:start w:val="1"/>
      <w:numFmt w:val="lowerLetter"/>
      <w:lvlText w:val="%5."/>
      <w:lvlJc w:val="left"/>
      <w:pPr>
        <w:ind w:left="3300" w:hanging="360"/>
      </w:pPr>
      <w:rPr>
        <w:rFonts w:cs="Times New Roman"/>
      </w:rPr>
    </w:lvl>
    <w:lvl w:ilvl="5" w:tplc="0C09001B" w:tentative="1">
      <w:start w:val="1"/>
      <w:numFmt w:val="lowerRoman"/>
      <w:lvlText w:val="%6."/>
      <w:lvlJc w:val="right"/>
      <w:pPr>
        <w:ind w:left="4020" w:hanging="180"/>
      </w:pPr>
      <w:rPr>
        <w:rFonts w:cs="Times New Roman"/>
      </w:rPr>
    </w:lvl>
    <w:lvl w:ilvl="6" w:tplc="0C09000F" w:tentative="1">
      <w:start w:val="1"/>
      <w:numFmt w:val="decimal"/>
      <w:lvlText w:val="%7."/>
      <w:lvlJc w:val="left"/>
      <w:pPr>
        <w:ind w:left="4740" w:hanging="360"/>
      </w:pPr>
      <w:rPr>
        <w:rFonts w:cs="Times New Roman"/>
      </w:rPr>
    </w:lvl>
    <w:lvl w:ilvl="7" w:tplc="0C090019" w:tentative="1">
      <w:start w:val="1"/>
      <w:numFmt w:val="lowerLetter"/>
      <w:lvlText w:val="%8."/>
      <w:lvlJc w:val="left"/>
      <w:pPr>
        <w:ind w:left="5460" w:hanging="360"/>
      </w:pPr>
      <w:rPr>
        <w:rFonts w:cs="Times New Roman"/>
      </w:rPr>
    </w:lvl>
    <w:lvl w:ilvl="8" w:tplc="0C09001B" w:tentative="1">
      <w:start w:val="1"/>
      <w:numFmt w:val="lowerRoman"/>
      <w:lvlText w:val="%9."/>
      <w:lvlJc w:val="right"/>
      <w:pPr>
        <w:ind w:left="6180" w:hanging="180"/>
      </w:pPr>
      <w:rPr>
        <w:rFonts w:cs="Times New Roman"/>
      </w:rPr>
    </w:lvl>
  </w:abstractNum>
  <w:abstractNum w:abstractNumId="17">
    <w:nsid w:val="71FD570C"/>
    <w:multiLevelType w:val="hybridMultilevel"/>
    <w:tmpl w:val="971C82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74B22D6F"/>
    <w:multiLevelType w:val="multilevel"/>
    <w:tmpl w:val="0C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400"/>
        </w:tabs>
        <w:ind w:left="3240" w:hanging="1080"/>
      </w:pPr>
      <w:rPr>
        <w:rFonts w:cs="Times New Roman"/>
      </w:rPr>
    </w:lvl>
    <w:lvl w:ilvl="7">
      <w:start w:val="1"/>
      <w:numFmt w:val="decimal"/>
      <w:lvlText w:val="%1.%2.%3.%4.%5.%6.%7.%8."/>
      <w:lvlJc w:val="left"/>
      <w:pPr>
        <w:tabs>
          <w:tab w:val="num" w:pos="612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abstractNum w:abstractNumId="19">
    <w:nsid w:val="7A8222BD"/>
    <w:multiLevelType w:val="hybridMultilevel"/>
    <w:tmpl w:val="AA0CFF64"/>
    <w:lvl w:ilvl="0" w:tplc="D116C520">
      <w:start w:val="1"/>
      <w:numFmt w:val="bullet"/>
      <w:lvlText w:val=""/>
      <w:lvlJc w:val="left"/>
      <w:pPr>
        <w:tabs>
          <w:tab w:val="num" w:pos="357"/>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4"/>
  </w:num>
  <w:num w:numId="3">
    <w:abstractNumId w:val="5"/>
  </w:num>
  <w:num w:numId="4">
    <w:abstractNumId w:val="3"/>
  </w:num>
  <w:num w:numId="5">
    <w:abstractNumId w:val="2"/>
  </w:num>
  <w:num w:numId="6">
    <w:abstractNumId w:val="18"/>
  </w:num>
  <w:num w:numId="7">
    <w:abstractNumId w:val="19"/>
  </w:num>
  <w:num w:numId="8">
    <w:abstractNumId w:val="4"/>
  </w:num>
  <w:num w:numId="9">
    <w:abstractNumId w:val="17"/>
  </w:num>
  <w:num w:numId="10">
    <w:abstractNumId w:val="6"/>
  </w:num>
  <w:num w:numId="11">
    <w:abstractNumId w:val="15"/>
  </w:num>
  <w:num w:numId="12">
    <w:abstractNumId w:val="12"/>
  </w:num>
  <w:num w:numId="13">
    <w:abstractNumId w:val="16"/>
  </w:num>
  <w:num w:numId="14">
    <w:abstractNumId w:val="11"/>
  </w:num>
  <w:num w:numId="15">
    <w:abstractNumId w:val="7"/>
  </w:num>
  <w:num w:numId="16">
    <w:abstractNumId w:val="13"/>
  </w:num>
  <w:num w:numId="17">
    <w:abstractNumId w:val="8"/>
  </w:num>
  <w:num w:numId="18">
    <w:abstractNumId w:val="9"/>
  </w:num>
  <w:num w:numId="19">
    <w:abstractNumId w:val="10"/>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6E1"/>
    <w:rsid w:val="000000E9"/>
    <w:rsid w:val="00003F3D"/>
    <w:rsid w:val="00007AC7"/>
    <w:rsid w:val="00011D82"/>
    <w:rsid w:val="00017492"/>
    <w:rsid w:val="00017BB6"/>
    <w:rsid w:val="000243A5"/>
    <w:rsid w:val="000262A7"/>
    <w:rsid w:val="000265E4"/>
    <w:rsid w:val="00030469"/>
    <w:rsid w:val="00041D60"/>
    <w:rsid w:val="000470B8"/>
    <w:rsid w:val="000543EE"/>
    <w:rsid w:val="000678F2"/>
    <w:rsid w:val="0007157F"/>
    <w:rsid w:val="00082B8E"/>
    <w:rsid w:val="00085013"/>
    <w:rsid w:val="0009221A"/>
    <w:rsid w:val="00094853"/>
    <w:rsid w:val="000A0CAC"/>
    <w:rsid w:val="000A3CF0"/>
    <w:rsid w:val="000B14F4"/>
    <w:rsid w:val="000B3D66"/>
    <w:rsid w:val="000C094F"/>
    <w:rsid w:val="000C6B66"/>
    <w:rsid w:val="000E230E"/>
    <w:rsid w:val="000F2586"/>
    <w:rsid w:val="00104D22"/>
    <w:rsid w:val="00110997"/>
    <w:rsid w:val="00121FEE"/>
    <w:rsid w:val="00122B96"/>
    <w:rsid w:val="00122C68"/>
    <w:rsid w:val="00123023"/>
    <w:rsid w:val="0012468C"/>
    <w:rsid w:val="001260AC"/>
    <w:rsid w:val="001329F7"/>
    <w:rsid w:val="00135286"/>
    <w:rsid w:val="00142E9F"/>
    <w:rsid w:val="00147F9E"/>
    <w:rsid w:val="00161D72"/>
    <w:rsid w:val="001659EA"/>
    <w:rsid w:val="001679E6"/>
    <w:rsid w:val="00185887"/>
    <w:rsid w:val="00191E1D"/>
    <w:rsid w:val="001A701F"/>
    <w:rsid w:val="001B329C"/>
    <w:rsid w:val="001B5BBD"/>
    <w:rsid w:val="001B7EBD"/>
    <w:rsid w:val="001C1E78"/>
    <w:rsid w:val="001D38A4"/>
    <w:rsid w:val="001D512D"/>
    <w:rsid w:val="001D7A9E"/>
    <w:rsid w:val="001E2116"/>
    <w:rsid w:val="001E3FC5"/>
    <w:rsid w:val="001F40CA"/>
    <w:rsid w:val="002046E2"/>
    <w:rsid w:val="00204D2C"/>
    <w:rsid w:val="002055BD"/>
    <w:rsid w:val="00212C43"/>
    <w:rsid w:val="0021384F"/>
    <w:rsid w:val="00214582"/>
    <w:rsid w:val="0021579E"/>
    <w:rsid w:val="00216F43"/>
    <w:rsid w:val="0023099C"/>
    <w:rsid w:val="00244C91"/>
    <w:rsid w:val="002521E1"/>
    <w:rsid w:val="00252DA2"/>
    <w:rsid w:val="0025502C"/>
    <w:rsid w:val="002550B0"/>
    <w:rsid w:val="0025753C"/>
    <w:rsid w:val="002602A9"/>
    <w:rsid w:val="00266178"/>
    <w:rsid w:val="0026750F"/>
    <w:rsid w:val="00270064"/>
    <w:rsid w:val="00271F1C"/>
    <w:rsid w:val="00275922"/>
    <w:rsid w:val="002A4C7E"/>
    <w:rsid w:val="002B7C9B"/>
    <w:rsid w:val="002C1A24"/>
    <w:rsid w:val="002E6079"/>
    <w:rsid w:val="002F2218"/>
    <w:rsid w:val="002F3099"/>
    <w:rsid w:val="002F56D9"/>
    <w:rsid w:val="002F6C39"/>
    <w:rsid w:val="00300C22"/>
    <w:rsid w:val="00316278"/>
    <w:rsid w:val="00321BB6"/>
    <w:rsid w:val="00322F78"/>
    <w:rsid w:val="00326A8F"/>
    <w:rsid w:val="00327506"/>
    <w:rsid w:val="00335126"/>
    <w:rsid w:val="0033527A"/>
    <w:rsid w:val="0034395B"/>
    <w:rsid w:val="00344939"/>
    <w:rsid w:val="00356BE1"/>
    <w:rsid w:val="00361ED2"/>
    <w:rsid w:val="00365B55"/>
    <w:rsid w:val="0037252B"/>
    <w:rsid w:val="00384957"/>
    <w:rsid w:val="00385C51"/>
    <w:rsid w:val="00391D8F"/>
    <w:rsid w:val="003944A2"/>
    <w:rsid w:val="00396A43"/>
    <w:rsid w:val="003A651B"/>
    <w:rsid w:val="003B5F1C"/>
    <w:rsid w:val="003C76C1"/>
    <w:rsid w:val="003E14AB"/>
    <w:rsid w:val="003E18DA"/>
    <w:rsid w:val="003E3436"/>
    <w:rsid w:val="003E7891"/>
    <w:rsid w:val="003F41E8"/>
    <w:rsid w:val="003F4D0A"/>
    <w:rsid w:val="003F6F6B"/>
    <w:rsid w:val="00400F04"/>
    <w:rsid w:val="00402829"/>
    <w:rsid w:val="004032E0"/>
    <w:rsid w:val="00406B95"/>
    <w:rsid w:val="00406EC6"/>
    <w:rsid w:val="00412F34"/>
    <w:rsid w:val="00413D28"/>
    <w:rsid w:val="00417044"/>
    <w:rsid w:val="004210C6"/>
    <w:rsid w:val="0043731C"/>
    <w:rsid w:val="004373A3"/>
    <w:rsid w:val="00464903"/>
    <w:rsid w:val="00465ABB"/>
    <w:rsid w:val="00473BD1"/>
    <w:rsid w:val="00481CF2"/>
    <w:rsid w:val="00482106"/>
    <w:rsid w:val="00483209"/>
    <w:rsid w:val="00493378"/>
    <w:rsid w:val="004965ED"/>
    <w:rsid w:val="004B4704"/>
    <w:rsid w:val="004B5184"/>
    <w:rsid w:val="004C15E9"/>
    <w:rsid w:val="004D10C5"/>
    <w:rsid w:val="004D14ED"/>
    <w:rsid w:val="004D7FE2"/>
    <w:rsid w:val="004E2800"/>
    <w:rsid w:val="004F6DCF"/>
    <w:rsid w:val="00501410"/>
    <w:rsid w:val="005026F4"/>
    <w:rsid w:val="00507B5D"/>
    <w:rsid w:val="00511410"/>
    <w:rsid w:val="00512719"/>
    <w:rsid w:val="00514A43"/>
    <w:rsid w:val="00516C46"/>
    <w:rsid w:val="00532599"/>
    <w:rsid w:val="0053532F"/>
    <w:rsid w:val="00536518"/>
    <w:rsid w:val="00536BD5"/>
    <w:rsid w:val="005466AA"/>
    <w:rsid w:val="00550A14"/>
    <w:rsid w:val="00552173"/>
    <w:rsid w:val="005522D4"/>
    <w:rsid w:val="0057663C"/>
    <w:rsid w:val="005810CA"/>
    <w:rsid w:val="005815CF"/>
    <w:rsid w:val="00583E53"/>
    <w:rsid w:val="005854C9"/>
    <w:rsid w:val="00587AC2"/>
    <w:rsid w:val="00596A1D"/>
    <w:rsid w:val="005977FE"/>
    <w:rsid w:val="005A106C"/>
    <w:rsid w:val="005A2A64"/>
    <w:rsid w:val="005A4259"/>
    <w:rsid w:val="005B2D91"/>
    <w:rsid w:val="005C072C"/>
    <w:rsid w:val="005C4A80"/>
    <w:rsid w:val="005D0407"/>
    <w:rsid w:val="005D1049"/>
    <w:rsid w:val="005D36BB"/>
    <w:rsid w:val="005F1A08"/>
    <w:rsid w:val="005F703E"/>
    <w:rsid w:val="0060015F"/>
    <w:rsid w:val="006047A4"/>
    <w:rsid w:val="00611E43"/>
    <w:rsid w:val="00613AA8"/>
    <w:rsid w:val="00630741"/>
    <w:rsid w:val="00632599"/>
    <w:rsid w:val="00634BF9"/>
    <w:rsid w:val="0064009C"/>
    <w:rsid w:val="0065002D"/>
    <w:rsid w:val="006516DA"/>
    <w:rsid w:val="006517B4"/>
    <w:rsid w:val="00651D14"/>
    <w:rsid w:val="00652853"/>
    <w:rsid w:val="00653C68"/>
    <w:rsid w:val="00656909"/>
    <w:rsid w:val="00660039"/>
    <w:rsid w:val="006659D1"/>
    <w:rsid w:val="00681568"/>
    <w:rsid w:val="006856D9"/>
    <w:rsid w:val="006948CD"/>
    <w:rsid w:val="006975A5"/>
    <w:rsid w:val="006A74ED"/>
    <w:rsid w:val="006A7D9D"/>
    <w:rsid w:val="006B0443"/>
    <w:rsid w:val="006C0B32"/>
    <w:rsid w:val="006C1816"/>
    <w:rsid w:val="006E4F21"/>
    <w:rsid w:val="006F6984"/>
    <w:rsid w:val="007124CE"/>
    <w:rsid w:val="00712BED"/>
    <w:rsid w:val="00721892"/>
    <w:rsid w:val="00727BE7"/>
    <w:rsid w:val="007326A2"/>
    <w:rsid w:val="007349C9"/>
    <w:rsid w:val="00740066"/>
    <w:rsid w:val="00740083"/>
    <w:rsid w:val="00745A8C"/>
    <w:rsid w:val="00746035"/>
    <w:rsid w:val="00747563"/>
    <w:rsid w:val="00751948"/>
    <w:rsid w:val="00761B05"/>
    <w:rsid w:val="00762A27"/>
    <w:rsid w:val="00764A5E"/>
    <w:rsid w:val="007711D4"/>
    <w:rsid w:val="00793F6F"/>
    <w:rsid w:val="00797626"/>
    <w:rsid w:val="007A0F94"/>
    <w:rsid w:val="007A3C18"/>
    <w:rsid w:val="007A3DC0"/>
    <w:rsid w:val="007A52B1"/>
    <w:rsid w:val="007B6B24"/>
    <w:rsid w:val="007C14C1"/>
    <w:rsid w:val="007C39DA"/>
    <w:rsid w:val="007D45CA"/>
    <w:rsid w:val="007E0284"/>
    <w:rsid w:val="007F6FC8"/>
    <w:rsid w:val="008041C8"/>
    <w:rsid w:val="00814956"/>
    <w:rsid w:val="00816130"/>
    <w:rsid w:val="008177C9"/>
    <w:rsid w:val="0082444D"/>
    <w:rsid w:val="00826F7B"/>
    <w:rsid w:val="0083231B"/>
    <w:rsid w:val="008410B6"/>
    <w:rsid w:val="00844AB5"/>
    <w:rsid w:val="00847EC4"/>
    <w:rsid w:val="00857157"/>
    <w:rsid w:val="00860CFC"/>
    <w:rsid w:val="0087586C"/>
    <w:rsid w:val="00877A78"/>
    <w:rsid w:val="00886C91"/>
    <w:rsid w:val="00887E30"/>
    <w:rsid w:val="0089043C"/>
    <w:rsid w:val="0089414D"/>
    <w:rsid w:val="00895EB5"/>
    <w:rsid w:val="008A33A6"/>
    <w:rsid w:val="008A622D"/>
    <w:rsid w:val="008A79D0"/>
    <w:rsid w:val="008B0209"/>
    <w:rsid w:val="008B26E8"/>
    <w:rsid w:val="008C68D1"/>
    <w:rsid w:val="008C78DE"/>
    <w:rsid w:val="008E4C30"/>
    <w:rsid w:val="008F35A9"/>
    <w:rsid w:val="008F702F"/>
    <w:rsid w:val="008F70DC"/>
    <w:rsid w:val="009019C0"/>
    <w:rsid w:val="009022A7"/>
    <w:rsid w:val="009118F8"/>
    <w:rsid w:val="009145C1"/>
    <w:rsid w:val="0092053F"/>
    <w:rsid w:val="00941E14"/>
    <w:rsid w:val="00944729"/>
    <w:rsid w:val="009548D9"/>
    <w:rsid w:val="009569A2"/>
    <w:rsid w:val="00957A2E"/>
    <w:rsid w:val="00963B31"/>
    <w:rsid w:val="009817A0"/>
    <w:rsid w:val="009859A7"/>
    <w:rsid w:val="00996E68"/>
    <w:rsid w:val="00997826"/>
    <w:rsid w:val="009B21BD"/>
    <w:rsid w:val="009B5648"/>
    <w:rsid w:val="009B6740"/>
    <w:rsid w:val="009C57BC"/>
    <w:rsid w:val="009E404C"/>
    <w:rsid w:val="00A0059F"/>
    <w:rsid w:val="00A0504F"/>
    <w:rsid w:val="00A066F8"/>
    <w:rsid w:val="00A20A53"/>
    <w:rsid w:val="00A35D0D"/>
    <w:rsid w:val="00A52590"/>
    <w:rsid w:val="00A56117"/>
    <w:rsid w:val="00A601EF"/>
    <w:rsid w:val="00A7615C"/>
    <w:rsid w:val="00A961E4"/>
    <w:rsid w:val="00A96A1F"/>
    <w:rsid w:val="00AA09C1"/>
    <w:rsid w:val="00AA3391"/>
    <w:rsid w:val="00AA4A06"/>
    <w:rsid w:val="00AA4DD6"/>
    <w:rsid w:val="00AB3D22"/>
    <w:rsid w:val="00AC3232"/>
    <w:rsid w:val="00AD1565"/>
    <w:rsid w:val="00AD58FC"/>
    <w:rsid w:val="00AD5C4C"/>
    <w:rsid w:val="00AD6AEC"/>
    <w:rsid w:val="00AE42C1"/>
    <w:rsid w:val="00AE58BD"/>
    <w:rsid w:val="00AF1618"/>
    <w:rsid w:val="00AF1DEC"/>
    <w:rsid w:val="00AF4B4D"/>
    <w:rsid w:val="00B1016F"/>
    <w:rsid w:val="00B11718"/>
    <w:rsid w:val="00B1222B"/>
    <w:rsid w:val="00B12864"/>
    <w:rsid w:val="00B12992"/>
    <w:rsid w:val="00B20E88"/>
    <w:rsid w:val="00B21F40"/>
    <w:rsid w:val="00B23686"/>
    <w:rsid w:val="00B23C3C"/>
    <w:rsid w:val="00B25816"/>
    <w:rsid w:val="00B26AF5"/>
    <w:rsid w:val="00B277DC"/>
    <w:rsid w:val="00B30015"/>
    <w:rsid w:val="00B3156B"/>
    <w:rsid w:val="00B42212"/>
    <w:rsid w:val="00B423A8"/>
    <w:rsid w:val="00B426AB"/>
    <w:rsid w:val="00B45D63"/>
    <w:rsid w:val="00B5046B"/>
    <w:rsid w:val="00B51311"/>
    <w:rsid w:val="00B5596A"/>
    <w:rsid w:val="00B55E8D"/>
    <w:rsid w:val="00B73DEB"/>
    <w:rsid w:val="00B771CA"/>
    <w:rsid w:val="00B810C5"/>
    <w:rsid w:val="00B90812"/>
    <w:rsid w:val="00B95414"/>
    <w:rsid w:val="00B96EAD"/>
    <w:rsid w:val="00BA6265"/>
    <w:rsid w:val="00BB11AA"/>
    <w:rsid w:val="00BC29AC"/>
    <w:rsid w:val="00BC2C94"/>
    <w:rsid w:val="00BD35CB"/>
    <w:rsid w:val="00BD47C0"/>
    <w:rsid w:val="00BD5CB2"/>
    <w:rsid w:val="00BF0E74"/>
    <w:rsid w:val="00BF3210"/>
    <w:rsid w:val="00BF36CD"/>
    <w:rsid w:val="00C0156C"/>
    <w:rsid w:val="00C0478C"/>
    <w:rsid w:val="00C047A8"/>
    <w:rsid w:val="00C04C66"/>
    <w:rsid w:val="00C061B0"/>
    <w:rsid w:val="00C07429"/>
    <w:rsid w:val="00C13935"/>
    <w:rsid w:val="00C141F4"/>
    <w:rsid w:val="00C16A0A"/>
    <w:rsid w:val="00C23357"/>
    <w:rsid w:val="00C25113"/>
    <w:rsid w:val="00C260CA"/>
    <w:rsid w:val="00C32FD1"/>
    <w:rsid w:val="00C3676E"/>
    <w:rsid w:val="00C470A4"/>
    <w:rsid w:val="00C50AAF"/>
    <w:rsid w:val="00C50EC1"/>
    <w:rsid w:val="00C6188C"/>
    <w:rsid w:val="00C774AB"/>
    <w:rsid w:val="00C951FC"/>
    <w:rsid w:val="00C96163"/>
    <w:rsid w:val="00C96BDB"/>
    <w:rsid w:val="00C979B1"/>
    <w:rsid w:val="00C97ADD"/>
    <w:rsid w:val="00CA261D"/>
    <w:rsid w:val="00CA3428"/>
    <w:rsid w:val="00CA72DA"/>
    <w:rsid w:val="00CB0244"/>
    <w:rsid w:val="00CC10E3"/>
    <w:rsid w:val="00CC1DC0"/>
    <w:rsid w:val="00CD5BC3"/>
    <w:rsid w:val="00CF3B75"/>
    <w:rsid w:val="00D00E86"/>
    <w:rsid w:val="00D203B0"/>
    <w:rsid w:val="00D22AC5"/>
    <w:rsid w:val="00D24B0E"/>
    <w:rsid w:val="00D336CE"/>
    <w:rsid w:val="00D346C7"/>
    <w:rsid w:val="00D34E43"/>
    <w:rsid w:val="00D37253"/>
    <w:rsid w:val="00D42C93"/>
    <w:rsid w:val="00D50905"/>
    <w:rsid w:val="00D52280"/>
    <w:rsid w:val="00D61367"/>
    <w:rsid w:val="00D627DC"/>
    <w:rsid w:val="00D67557"/>
    <w:rsid w:val="00D72203"/>
    <w:rsid w:val="00D731F0"/>
    <w:rsid w:val="00D76A19"/>
    <w:rsid w:val="00D775BD"/>
    <w:rsid w:val="00D8115D"/>
    <w:rsid w:val="00D82308"/>
    <w:rsid w:val="00D93A27"/>
    <w:rsid w:val="00DA4F2D"/>
    <w:rsid w:val="00DA5EF0"/>
    <w:rsid w:val="00DB0295"/>
    <w:rsid w:val="00DB74CF"/>
    <w:rsid w:val="00DC0A91"/>
    <w:rsid w:val="00DC43FB"/>
    <w:rsid w:val="00DC53ED"/>
    <w:rsid w:val="00DD0D73"/>
    <w:rsid w:val="00DE2E57"/>
    <w:rsid w:val="00DF04B2"/>
    <w:rsid w:val="00E04AD8"/>
    <w:rsid w:val="00E05991"/>
    <w:rsid w:val="00E12B46"/>
    <w:rsid w:val="00E13FA0"/>
    <w:rsid w:val="00E201E5"/>
    <w:rsid w:val="00E315F4"/>
    <w:rsid w:val="00E3265B"/>
    <w:rsid w:val="00E32D00"/>
    <w:rsid w:val="00E34DC8"/>
    <w:rsid w:val="00E4068B"/>
    <w:rsid w:val="00E41020"/>
    <w:rsid w:val="00E51127"/>
    <w:rsid w:val="00E62ECA"/>
    <w:rsid w:val="00E844A7"/>
    <w:rsid w:val="00E87A50"/>
    <w:rsid w:val="00E87F04"/>
    <w:rsid w:val="00E92ACE"/>
    <w:rsid w:val="00EA165F"/>
    <w:rsid w:val="00EA6126"/>
    <w:rsid w:val="00EA7371"/>
    <w:rsid w:val="00EA7750"/>
    <w:rsid w:val="00EB6BF5"/>
    <w:rsid w:val="00EC1307"/>
    <w:rsid w:val="00EC7332"/>
    <w:rsid w:val="00EE28EC"/>
    <w:rsid w:val="00EE41FA"/>
    <w:rsid w:val="00EE6287"/>
    <w:rsid w:val="00EE72D5"/>
    <w:rsid w:val="00EF402B"/>
    <w:rsid w:val="00EF51FB"/>
    <w:rsid w:val="00F031AC"/>
    <w:rsid w:val="00F0699A"/>
    <w:rsid w:val="00F10718"/>
    <w:rsid w:val="00F154D0"/>
    <w:rsid w:val="00F17749"/>
    <w:rsid w:val="00F22E94"/>
    <w:rsid w:val="00F32417"/>
    <w:rsid w:val="00F4492E"/>
    <w:rsid w:val="00F45B2A"/>
    <w:rsid w:val="00F46BDF"/>
    <w:rsid w:val="00F47BF7"/>
    <w:rsid w:val="00F60FDA"/>
    <w:rsid w:val="00F66BC7"/>
    <w:rsid w:val="00F826E1"/>
    <w:rsid w:val="00F90352"/>
    <w:rsid w:val="00F903AA"/>
    <w:rsid w:val="00F916D1"/>
    <w:rsid w:val="00F966C8"/>
    <w:rsid w:val="00FA5436"/>
    <w:rsid w:val="00FB5617"/>
    <w:rsid w:val="00FB7FEE"/>
    <w:rsid w:val="00FC18C9"/>
    <w:rsid w:val="00FD18BC"/>
    <w:rsid w:val="00FD4EF8"/>
    <w:rsid w:val="00FE0DA6"/>
    <w:rsid w:val="00FE0ED4"/>
    <w:rsid w:val="00FE1BC8"/>
    <w:rsid w:val="00FF35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7663C"/>
    <w:pPr>
      <w:jc w:val="both"/>
    </w:pPr>
    <w:rPr>
      <w:rFonts w:ascii="Times New Roman" w:hAnsi="Times New Roman"/>
      <w:sz w:val="24"/>
      <w:szCs w:val="24"/>
    </w:rPr>
  </w:style>
  <w:style w:type="paragraph" w:styleId="Heading1">
    <w:name w:val="heading 1"/>
    <w:basedOn w:val="Normal"/>
    <w:next w:val="Normal"/>
    <w:link w:val="Heading1Char"/>
    <w:autoRedefine/>
    <w:uiPriority w:val="99"/>
    <w:qFormat/>
    <w:rsid w:val="00041D60"/>
    <w:pPr>
      <w:keepNext/>
      <w:spacing w:before="240" w:after="600"/>
      <w:jc w:val="center"/>
      <w:outlineLvl w:val="0"/>
    </w:pPr>
    <w:rPr>
      <w:rFonts w:cs="Arial"/>
      <w:b/>
      <w:bCs/>
      <w:caps/>
      <w:kern w:val="32"/>
      <w:sz w:val="32"/>
      <w:szCs w:val="32"/>
    </w:rPr>
  </w:style>
  <w:style w:type="paragraph" w:styleId="Heading2">
    <w:name w:val="heading 2"/>
    <w:basedOn w:val="Normal"/>
    <w:next w:val="Normal"/>
    <w:link w:val="Heading2Char"/>
    <w:uiPriority w:val="99"/>
    <w:qFormat/>
    <w:rsid w:val="006975A5"/>
    <w:pPr>
      <w:keepNext/>
      <w:spacing w:after="60"/>
      <w:jc w:val="center"/>
      <w:outlineLvl w:val="1"/>
    </w:pPr>
    <w:rPr>
      <w:rFonts w:cs="Arial"/>
      <w:b/>
      <w:bCs/>
      <w:iCs/>
      <w:szCs w:val="28"/>
    </w:rPr>
  </w:style>
  <w:style w:type="paragraph" w:styleId="Heading3">
    <w:name w:val="heading 3"/>
    <w:basedOn w:val="Normal"/>
    <w:next w:val="Normal"/>
    <w:link w:val="Heading3Char"/>
    <w:uiPriority w:val="99"/>
    <w:qFormat/>
    <w:rsid w:val="001D38A4"/>
    <w:pPr>
      <w:keepNext/>
      <w:spacing w:before="120" w:after="120"/>
      <w:jc w:val="center"/>
      <w:outlineLvl w:val="2"/>
    </w:pPr>
    <w:rPr>
      <w:rFonts w:cs="Arial"/>
      <w:b/>
      <w:bCs/>
      <w:smallCaps/>
      <w:sz w:val="28"/>
      <w:szCs w:val="26"/>
    </w:rPr>
  </w:style>
  <w:style w:type="paragraph" w:styleId="Heading4">
    <w:name w:val="heading 4"/>
    <w:basedOn w:val="Normal"/>
    <w:next w:val="Normal"/>
    <w:link w:val="Heading4Char"/>
    <w:uiPriority w:val="99"/>
    <w:qFormat/>
    <w:rsid w:val="001D38A4"/>
    <w:pPr>
      <w:keepNext/>
      <w:spacing w:before="120" w:after="120"/>
      <w:outlineLvl w:val="3"/>
    </w:pPr>
    <w:rPr>
      <w:b/>
      <w:bCs/>
      <w:szCs w:val="28"/>
    </w:rPr>
  </w:style>
  <w:style w:type="paragraph" w:styleId="Heading5">
    <w:name w:val="heading 5"/>
    <w:basedOn w:val="Normal"/>
    <w:next w:val="Normal"/>
    <w:link w:val="Heading5Char"/>
    <w:uiPriority w:val="99"/>
    <w:qFormat/>
    <w:rsid w:val="00501410"/>
    <w:pPr>
      <w:pBdr>
        <w:top w:val="single" w:sz="4" w:space="1" w:color="auto"/>
        <w:left w:val="single" w:sz="4" w:space="4" w:color="auto"/>
        <w:bottom w:val="single" w:sz="4" w:space="1" w:color="auto"/>
        <w:right w:val="single" w:sz="4" w:space="4" w:color="auto"/>
      </w:pBdr>
      <w:spacing w:before="240" w:after="120"/>
      <w:outlineLvl w:val="4"/>
    </w:pPr>
    <w:rPr>
      <w:b/>
      <w:bCs/>
      <w:iCs/>
      <w:szCs w:val="26"/>
    </w:rPr>
  </w:style>
  <w:style w:type="paragraph" w:styleId="Heading6">
    <w:name w:val="heading 6"/>
    <w:basedOn w:val="Normal"/>
    <w:next w:val="Normal"/>
    <w:link w:val="Heading6Char"/>
    <w:uiPriority w:val="99"/>
    <w:qFormat/>
    <w:rsid w:val="00DE2E57"/>
    <w:pPr>
      <w:spacing w:before="240" w:after="60"/>
      <w:outlineLvl w:val="5"/>
    </w:pPr>
    <w:rPr>
      <w:b/>
      <w:bCs/>
      <w:szCs w:val="22"/>
    </w:rPr>
  </w:style>
  <w:style w:type="paragraph" w:styleId="Heading7">
    <w:name w:val="heading 7"/>
    <w:basedOn w:val="Normal"/>
    <w:next w:val="Normal"/>
    <w:link w:val="Heading7Char"/>
    <w:uiPriority w:val="99"/>
    <w:qFormat/>
    <w:rsid w:val="001F40CA"/>
    <w:pPr>
      <w:spacing w:before="240" w:after="60"/>
      <w:outlineLvl w:val="6"/>
    </w:pPr>
    <w:rPr>
      <w:b/>
    </w:rPr>
  </w:style>
  <w:style w:type="paragraph" w:styleId="Heading8">
    <w:name w:val="heading 8"/>
    <w:basedOn w:val="Normal"/>
    <w:next w:val="Normal"/>
    <w:link w:val="Heading8Char"/>
    <w:uiPriority w:val="99"/>
    <w:qFormat/>
    <w:rsid w:val="003B5F1C"/>
    <w:pPr>
      <w:numPr>
        <w:ilvl w:val="7"/>
        <w:numId w:val="5"/>
      </w:numPr>
      <w:spacing w:before="240" w:after="60"/>
      <w:outlineLvl w:val="7"/>
    </w:pPr>
    <w:rPr>
      <w:i/>
      <w:iCs/>
    </w:rPr>
  </w:style>
  <w:style w:type="paragraph" w:styleId="Heading9">
    <w:name w:val="heading 9"/>
    <w:basedOn w:val="Normal"/>
    <w:next w:val="Normal"/>
    <w:link w:val="Heading9Char"/>
    <w:uiPriority w:val="99"/>
    <w:qFormat/>
    <w:rsid w:val="003B5F1C"/>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1D60"/>
    <w:rPr>
      <w:rFonts w:ascii="Times New Roman" w:hAnsi="Times New Roman" w:cs="Arial"/>
      <w:b/>
      <w:bCs/>
      <w:caps/>
      <w:kern w:val="32"/>
      <w:sz w:val="32"/>
      <w:szCs w:val="32"/>
    </w:rPr>
  </w:style>
  <w:style w:type="character" w:customStyle="1" w:styleId="Heading2Char">
    <w:name w:val="Heading 2 Char"/>
    <w:basedOn w:val="DefaultParagraphFont"/>
    <w:link w:val="Heading2"/>
    <w:uiPriority w:val="99"/>
    <w:locked/>
    <w:rsid w:val="006975A5"/>
    <w:rPr>
      <w:rFonts w:ascii="Times New Roman" w:hAnsi="Times New Roman" w:cs="Arial"/>
      <w:b/>
      <w:bCs/>
      <w:iCs/>
      <w:sz w:val="24"/>
      <w:szCs w:val="28"/>
    </w:rPr>
  </w:style>
  <w:style w:type="character" w:customStyle="1" w:styleId="Heading3Char">
    <w:name w:val="Heading 3 Char"/>
    <w:basedOn w:val="DefaultParagraphFont"/>
    <w:link w:val="Heading3"/>
    <w:uiPriority w:val="99"/>
    <w:locked/>
    <w:rsid w:val="001D38A4"/>
    <w:rPr>
      <w:rFonts w:ascii="Times New Roman" w:hAnsi="Times New Roman" w:cs="Arial"/>
      <w:b/>
      <w:bCs/>
      <w:smallCaps/>
      <w:sz w:val="28"/>
      <w:szCs w:val="26"/>
    </w:rPr>
  </w:style>
  <w:style w:type="character" w:customStyle="1" w:styleId="Heading4Char">
    <w:name w:val="Heading 4 Char"/>
    <w:basedOn w:val="DefaultParagraphFont"/>
    <w:link w:val="Heading4"/>
    <w:uiPriority w:val="99"/>
    <w:locked/>
    <w:rsid w:val="001D38A4"/>
    <w:rPr>
      <w:rFonts w:ascii="Times New Roman" w:hAnsi="Times New Roman"/>
      <w:b/>
      <w:bCs/>
      <w:sz w:val="24"/>
      <w:szCs w:val="28"/>
    </w:rPr>
  </w:style>
  <w:style w:type="character" w:customStyle="1" w:styleId="Heading5Char">
    <w:name w:val="Heading 5 Char"/>
    <w:basedOn w:val="DefaultParagraphFont"/>
    <w:link w:val="Heading5"/>
    <w:uiPriority w:val="99"/>
    <w:locked/>
    <w:rsid w:val="00501410"/>
    <w:rPr>
      <w:rFonts w:ascii="Times New Roman" w:hAnsi="Times New Roman"/>
      <w:b/>
      <w:bCs/>
      <w:iCs/>
      <w:sz w:val="24"/>
      <w:szCs w:val="26"/>
    </w:rPr>
  </w:style>
  <w:style w:type="character" w:customStyle="1" w:styleId="Heading6Char">
    <w:name w:val="Heading 6 Char"/>
    <w:basedOn w:val="DefaultParagraphFont"/>
    <w:link w:val="Heading6"/>
    <w:uiPriority w:val="99"/>
    <w:locked/>
    <w:rsid w:val="00DE2E57"/>
    <w:rPr>
      <w:rFonts w:ascii="Times New Roman" w:hAnsi="Times New Roman"/>
      <w:b/>
      <w:bCs/>
      <w:sz w:val="24"/>
    </w:rPr>
  </w:style>
  <w:style w:type="character" w:customStyle="1" w:styleId="Heading7Char">
    <w:name w:val="Heading 7 Char"/>
    <w:basedOn w:val="DefaultParagraphFont"/>
    <w:link w:val="Heading7"/>
    <w:uiPriority w:val="99"/>
    <w:locked/>
    <w:rsid w:val="001F40CA"/>
    <w:rPr>
      <w:rFonts w:ascii="Times New Roman" w:hAnsi="Times New Roman"/>
      <w:b/>
      <w:sz w:val="24"/>
      <w:szCs w:val="24"/>
    </w:rPr>
  </w:style>
  <w:style w:type="character" w:customStyle="1" w:styleId="Heading8Char">
    <w:name w:val="Heading 8 Char"/>
    <w:basedOn w:val="DefaultParagraphFont"/>
    <w:link w:val="Heading8"/>
    <w:uiPriority w:val="99"/>
    <w:locked/>
    <w:rsid w:val="003B5F1C"/>
    <w:rPr>
      <w:rFonts w:ascii="Times New Roman" w:hAnsi="Times New Roman"/>
      <w:i/>
      <w:iCs/>
      <w:sz w:val="24"/>
      <w:szCs w:val="24"/>
    </w:rPr>
  </w:style>
  <w:style w:type="character" w:customStyle="1" w:styleId="Heading9Char">
    <w:name w:val="Heading 9 Char"/>
    <w:basedOn w:val="DefaultParagraphFont"/>
    <w:link w:val="Heading9"/>
    <w:uiPriority w:val="99"/>
    <w:locked/>
    <w:rsid w:val="003B5F1C"/>
    <w:rPr>
      <w:rFonts w:ascii="Arial" w:hAnsi="Arial" w:cs="Arial"/>
    </w:rPr>
  </w:style>
  <w:style w:type="character" w:styleId="CommentReference">
    <w:name w:val="annotation reference"/>
    <w:basedOn w:val="DefaultParagraphFont"/>
    <w:uiPriority w:val="99"/>
    <w:semiHidden/>
    <w:rsid w:val="001C1E78"/>
    <w:rPr>
      <w:rFonts w:cs="Times New Roman"/>
      <w:sz w:val="16"/>
      <w:szCs w:val="16"/>
    </w:rPr>
  </w:style>
  <w:style w:type="paragraph" w:styleId="CommentText">
    <w:name w:val="annotation text"/>
    <w:basedOn w:val="Normal"/>
    <w:link w:val="CommentTextChar"/>
    <w:uiPriority w:val="99"/>
    <w:semiHidden/>
    <w:rsid w:val="001C1E78"/>
    <w:rPr>
      <w:sz w:val="20"/>
      <w:szCs w:val="20"/>
    </w:rPr>
  </w:style>
  <w:style w:type="character" w:customStyle="1" w:styleId="CommentTextChar">
    <w:name w:val="Comment Text Char"/>
    <w:basedOn w:val="DefaultParagraphFont"/>
    <w:link w:val="CommentText"/>
    <w:uiPriority w:val="99"/>
    <w:semiHidden/>
    <w:locked/>
    <w:rsid w:val="001C1E78"/>
    <w:rPr>
      <w:rFonts w:ascii="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rsid w:val="001C1E78"/>
    <w:rPr>
      <w:b/>
      <w:bCs/>
    </w:rPr>
  </w:style>
  <w:style w:type="character" w:customStyle="1" w:styleId="CommentSubjectChar">
    <w:name w:val="Comment Subject Char"/>
    <w:basedOn w:val="CommentTextChar"/>
    <w:link w:val="CommentSubject"/>
    <w:uiPriority w:val="99"/>
    <w:semiHidden/>
    <w:locked/>
    <w:rsid w:val="001C1E78"/>
    <w:rPr>
      <w:rFonts w:ascii="Times New Roman" w:hAnsi="Times New Roman" w:cs="Times New Roman"/>
      <w:b/>
      <w:bCs/>
      <w:sz w:val="20"/>
      <w:szCs w:val="20"/>
      <w:lang w:val="en-AU" w:eastAsia="en-AU"/>
    </w:rPr>
  </w:style>
  <w:style w:type="paragraph" w:styleId="BalloonText">
    <w:name w:val="Balloon Text"/>
    <w:basedOn w:val="Normal"/>
    <w:link w:val="BalloonTextChar"/>
    <w:uiPriority w:val="99"/>
    <w:semiHidden/>
    <w:rsid w:val="001C1E78"/>
    <w:rPr>
      <w:rFonts w:ascii="Tahoma" w:hAnsi="Tahoma"/>
      <w:sz w:val="16"/>
      <w:szCs w:val="16"/>
    </w:rPr>
  </w:style>
  <w:style w:type="character" w:customStyle="1" w:styleId="BalloonTextChar">
    <w:name w:val="Balloon Text Char"/>
    <w:basedOn w:val="DefaultParagraphFont"/>
    <w:link w:val="BalloonText"/>
    <w:uiPriority w:val="99"/>
    <w:semiHidden/>
    <w:locked/>
    <w:rsid w:val="001C1E78"/>
    <w:rPr>
      <w:rFonts w:ascii="Tahoma" w:hAnsi="Tahoma" w:cs="Times New Roman"/>
      <w:sz w:val="16"/>
      <w:szCs w:val="16"/>
      <w:lang w:val="en-AU" w:eastAsia="en-AU"/>
    </w:rPr>
  </w:style>
  <w:style w:type="paragraph" w:customStyle="1" w:styleId="Default">
    <w:name w:val="Default"/>
    <w:uiPriority w:val="99"/>
    <w:rsid w:val="001C1E78"/>
    <w:pPr>
      <w:autoSpaceDE w:val="0"/>
      <w:autoSpaceDN w:val="0"/>
      <w:adjustRightInd w:val="0"/>
    </w:pPr>
    <w:rPr>
      <w:rFonts w:ascii="Arial" w:hAnsi="Arial" w:cs="Arial"/>
      <w:color w:val="000000"/>
      <w:sz w:val="24"/>
      <w:szCs w:val="24"/>
      <w:lang w:bidi="bn-BD"/>
    </w:rPr>
  </w:style>
  <w:style w:type="paragraph" w:styleId="BodyText2">
    <w:name w:val="Body Text 2"/>
    <w:basedOn w:val="Normal"/>
    <w:link w:val="BodyText2Char"/>
    <w:uiPriority w:val="99"/>
    <w:rsid w:val="001C1E78"/>
    <w:pPr>
      <w:widowControl w:val="0"/>
      <w:spacing w:line="240" w:lineRule="exact"/>
    </w:pPr>
    <w:rPr>
      <w:szCs w:val="20"/>
    </w:rPr>
  </w:style>
  <w:style w:type="character" w:customStyle="1" w:styleId="BodyText2Char">
    <w:name w:val="Body Text 2 Char"/>
    <w:basedOn w:val="DefaultParagraphFont"/>
    <w:link w:val="BodyText2"/>
    <w:uiPriority w:val="99"/>
    <w:locked/>
    <w:rsid w:val="001C1E78"/>
    <w:rPr>
      <w:rFonts w:ascii="Times New Roman" w:hAnsi="Times New Roman" w:cs="Times New Roman"/>
      <w:sz w:val="20"/>
      <w:szCs w:val="20"/>
      <w:lang w:val="en-AU" w:eastAsia="en-AU"/>
    </w:rPr>
  </w:style>
  <w:style w:type="paragraph" w:styleId="Header">
    <w:name w:val="header"/>
    <w:basedOn w:val="Normal"/>
    <w:link w:val="HeaderChar"/>
    <w:uiPriority w:val="99"/>
    <w:rsid w:val="001C1E78"/>
    <w:pPr>
      <w:tabs>
        <w:tab w:val="center" w:pos="4153"/>
        <w:tab w:val="right" w:pos="8306"/>
      </w:tabs>
    </w:pPr>
  </w:style>
  <w:style w:type="character" w:customStyle="1" w:styleId="HeaderChar">
    <w:name w:val="Header Char"/>
    <w:basedOn w:val="DefaultParagraphFont"/>
    <w:link w:val="Header"/>
    <w:uiPriority w:val="99"/>
    <w:locked/>
    <w:rsid w:val="001C1E78"/>
    <w:rPr>
      <w:rFonts w:ascii="Times New Roman" w:hAnsi="Times New Roman" w:cs="Times New Roman"/>
      <w:lang w:val="en-AU" w:eastAsia="en-AU"/>
    </w:rPr>
  </w:style>
  <w:style w:type="paragraph" w:styleId="Footer">
    <w:name w:val="footer"/>
    <w:basedOn w:val="Normal"/>
    <w:link w:val="FooterChar"/>
    <w:uiPriority w:val="99"/>
    <w:rsid w:val="001C1E78"/>
    <w:pPr>
      <w:tabs>
        <w:tab w:val="center" w:pos="4153"/>
        <w:tab w:val="right" w:pos="8306"/>
      </w:tabs>
    </w:pPr>
  </w:style>
  <w:style w:type="character" w:customStyle="1" w:styleId="FooterChar">
    <w:name w:val="Footer Char"/>
    <w:basedOn w:val="DefaultParagraphFont"/>
    <w:link w:val="Footer"/>
    <w:uiPriority w:val="99"/>
    <w:locked/>
    <w:rsid w:val="001C1E78"/>
    <w:rPr>
      <w:rFonts w:ascii="Times New Roman" w:hAnsi="Times New Roman" w:cs="Times New Roman"/>
      <w:lang w:val="en-AU" w:eastAsia="en-AU"/>
    </w:rPr>
  </w:style>
  <w:style w:type="character" w:styleId="PageNumber">
    <w:name w:val="page number"/>
    <w:basedOn w:val="DefaultParagraphFont"/>
    <w:uiPriority w:val="99"/>
    <w:rsid w:val="001C1E78"/>
    <w:rPr>
      <w:rFonts w:cs="Times New Roman"/>
    </w:rPr>
  </w:style>
  <w:style w:type="character" w:styleId="Hyperlink">
    <w:name w:val="Hyperlink"/>
    <w:basedOn w:val="DefaultParagraphFont"/>
    <w:uiPriority w:val="99"/>
    <w:rsid w:val="001C1E78"/>
    <w:rPr>
      <w:rFonts w:cs="Times New Roman"/>
      <w:color w:val="0000FF"/>
      <w:u w:val="single"/>
    </w:rPr>
  </w:style>
  <w:style w:type="paragraph" w:customStyle="1" w:styleId="CM2">
    <w:name w:val="CM2"/>
    <w:basedOn w:val="Normal"/>
    <w:next w:val="Normal"/>
    <w:uiPriority w:val="99"/>
    <w:rsid w:val="001C1E78"/>
    <w:pPr>
      <w:widowControl w:val="0"/>
      <w:autoSpaceDE w:val="0"/>
      <w:autoSpaceDN w:val="0"/>
      <w:adjustRightInd w:val="0"/>
      <w:spacing w:line="276" w:lineRule="atLeast"/>
    </w:pPr>
    <w:rPr>
      <w:rFonts w:eastAsia="Batang"/>
      <w:lang w:eastAsia="ko-KR"/>
    </w:rPr>
  </w:style>
  <w:style w:type="paragraph" w:customStyle="1" w:styleId="CM1">
    <w:name w:val="CM1"/>
    <w:basedOn w:val="Default"/>
    <w:next w:val="Default"/>
    <w:uiPriority w:val="99"/>
    <w:rsid w:val="001C1E78"/>
    <w:pPr>
      <w:widowControl w:val="0"/>
      <w:spacing w:line="276" w:lineRule="atLeast"/>
    </w:pPr>
    <w:rPr>
      <w:rFonts w:ascii="Times New Roman" w:hAnsi="Times New Roman" w:cs="Vrinda"/>
      <w:color w:val="auto"/>
    </w:rPr>
  </w:style>
  <w:style w:type="paragraph" w:styleId="ListParagraph">
    <w:name w:val="List Paragraph"/>
    <w:basedOn w:val="Normal"/>
    <w:uiPriority w:val="99"/>
    <w:qFormat/>
    <w:rsid w:val="001C1E78"/>
    <w:pPr>
      <w:ind w:left="720"/>
      <w:contextualSpacing/>
    </w:pPr>
  </w:style>
  <w:style w:type="paragraph" w:styleId="BodyTextIndent">
    <w:name w:val="Body Text Indent"/>
    <w:basedOn w:val="Normal"/>
    <w:link w:val="BodyTextIndentChar"/>
    <w:uiPriority w:val="99"/>
    <w:semiHidden/>
    <w:rsid w:val="001C1E78"/>
    <w:pPr>
      <w:spacing w:after="120"/>
      <w:ind w:left="283"/>
    </w:pPr>
  </w:style>
  <w:style w:type="character" w:customStyle="1" w:styleId="BodyTextIndentChar">
    <w:name w:val="Body Text Indent Char"/>
    <w:basedOn w:val="DefaultParagraphFont"/>
    <w:link w:val="BodyTextIndent"/>
    <w:uiPriority w:val="99"/>
    <w:semiHidden/>
    <w:locked/>
    <w:rsid w:val="001C1E78"/>
    <w:rPr>
      <w:rFonts w:ascii="Times New Roman" w:hAnsi="Times New Roman" w:cs="Times New Roman"/>
      <w:lang w:val="en-AU" w:eastAsia="en-AU"/>
    </w:rPr>
  </w:style>
  <w:style w:type="paragraph" w:styleId="BodyText">
    <w:name w:val="Body Text"/>
    <w:basedOn w:val="Normal"/>
    <w:link w:val="BodyTextChar"/>
    <w:uiPriority w:val="99"/>
    <w:semiHidden/>
    <w:rsid w:val="001C1E78"/>
    <w:pPr>
      <w:spacing w:after="120" w:line="276" w:lineRule="auto"/>
    </w:pPr>
    <w:rPr>
      <w:rFonts w:ascii="Cambria" w:hAnsi="Cambria"/>
      <w:sz w:val="22"/>
      <w:szCs w:val="22"/>
      <w:lang w:eastAsia="en-US"/>
    </w:rPr>
  </w:style>
  <w:style w:type="character" w:customStyle="1" w:styleId="BodyTextChar">
    <w:name w:val="Body Text Char"/>
    <w:basedOn w:val="DefaultParagraphFont"/>
    <w:link w:val="BodyText"/>
    <w:uiPriority w:val="99"/>
    <w:semiHidden/>
    <w:locked/>
    <w:rsid w:val="001C1E78"/>
    <w:rPr>
      <w:rFonts w:eastAsia="Times New Roman" w:cs="Times New Roman"/>
      <w:sz w:val="22"/>
      <w:szCs w:val="22"/>
      <w:lang w:val="en-AU"/>
    </w:rPr>
  </w:style>
  <w:style w:type="paragraph" w:styleId="Caption">
    <w:name w:val="caption"/>
    <w:basedOn w:val="Normal"/>
    <w:next w:val="Normal"/>
    <w:uiPriority w:val="99"/>
    <w:qFormat/>
    <w:rsid w:val="001C1E78"/>
    <w:pPr>
      <w:spacing w:after="200" w:line="276" w:lineRule="auto"/>
    </w:pPr>
    <w:rPr>
      <w:rFonts w:ascii="Calibri" w:hAnsi="Calibri"/>
      <w:b/>
      <w:bCs/>
      <w:caps/>
      <w:sz w:val="16"/>
      <w:szCs w:val="18"/>
      <w:lang w:val="en-US" w:eastAsia="en-US"/>
    </w:rPr>
  </w:style>
  <w:style w:type="character" w:customStyle="1" w:styleId="apple-converted-space">
    <w:name w:val="apple-converted-space"/>
    <w:basedOn w:val="DefaultParagraphFont"/>
    <w:uiPriority w:val="99"/>
    <w:rsid w:val="001C1E78"/>
    <w:rPr>
      <w:rFonts w:cs="Times New Roman"/>
    </w:rPr>
  </w:style>
  <w:style w:type="paragraph" w:styleId="FootnoteText">
    <w:name w:val="footnote text"/>
    <w:basedOn w:val="Normal"/>
    <w:link w:val="FootnoteTextChar"/>
    <w:uiPriority w:val="99"/>
    <w:rsid w:val="00C07429"/>
  </w:style>
  <w:style w:type="character" w:customStyle="1" w:styleId="FootnoteTextChar">
    <w:name w:val="Footnote Text Char"/>
    <w:basedOn w:val="DefaultParagraphFont"/>
    <w:link w:val="FootnoteText"/>
    <w:uiPriority w:val="99"/>
    <w:locked/>
    <w:rsid w:val="00C07429"/>
    <w:rPr>
      <w:rFonts w:ascii="Times New Roman" w:hAnsi="Times New Roman" w:cs="Times New Roman"/>
      <w:lang w:val="en-AU" w:eastAsia="en-AU"/>
    </w:rPr>
  </w:style>
  <w:style w:type="character" w:styleId="FootnoteReference">
    <w:name w:val="footnote reference"/>
    <w:basedOn w:val="DefaultParagraphFont"/>
    <w:uiPriority w:val="99"/>
    <w:rsid w:val="00C07429"/>
    <w:rPr>
      <w:rFonts w:cs="Times New Roman"/>
      <w:vertAlign w:val="superscript"/>
    </w:rPr>
  </w:style>
  <w:style w:type="paragraph" w:styleId="NormalWeb">
    <w:name w:val="Normal (Web)"/>
    <w:basedOn w:val="Normal"/>
    <w:uiPriority w:val="99"/>
    <w:rsid w:val="003B5F1C"/>
    <w:pPr>
      <w:spacing w:after="120"/>
    </w:pPr>
  </w:style>
  <w:style w:type="table" w:styleId="TableGrid">
    <w:name w:val="Table Grid"/>
    <w:basedOn w:val="TableNormal"/>
    <w:uiPriority w:val="99"/>
    <w:rsid w:val="003B5F1C"/>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uiPriority w:val="99"/>
    <w:rsid w:val="003B5F1C"/>
    <w:rPr>
      <w:rFonts w:cs="Times New Roman"/>
    </w:rPr>
  </w:style>
  <w:style w:type="character" w:styleId="Strong">
    <w:name w:val="Strong"/>
    <w:basedOn w:val="DefaultParagraphFont"/>
    <w:uiPriority w:val="99"/>
    <w:qFormat/>
    <w:rsid w:val="003B5F1C"/>
    <w:rPr>
      <w:rFonts w:cs="Times New Roman"/>
      <w:b/>
    </w:rPr>
  </w:style>
  <w:style w:type="character" w:styleId="FollowedHyperlink">
    <w:name w:val="FollowedHyperlink"/>
    <w:basedOn w:val="DefaultParagraphFont"/>
    <w:uiPriority w:val="99"/>
    <w:rsid w:val="003B5F1C"/>
    <w:rPr>
      <w:rFonts w:cs="Times New Roman"/>
      <w:color w:val="800080"/>
      <w:u w:val="single"/>
    </w:rPr>
  </w:style>
  <w:style w:type="character" w:customStyle="1" w:styleId="googqs-tidbit">
    <w:name w:val="goog_qs-tidbit"/>
    <w:basedOn w:val="DefaultParagraphFont"/>
    <w:uiPriority w:val="99"/>
    <w:rsid w:val="0026750F"/>
    <w:rPr>
      <w:rFonts w:cs="Times New Roman"/>
    </w:rPr>
  </w:style>
  <w:style w:type="character" w:customStyle="1" w:styleId="Body1Char">
    <w:name w:val="Body 1 Char"/>
    <w:basedOn w:val="DefaultParagraphFont"/>
    <w:link w:val="Body1"/>
    <w:uiPriority w:val="99"/>
    <w:locked/>
    <w:rsid w:val="00D8115D"/>
    <w:rPr>
      <w:rFonts w:ascii="?????? Pro W3" w:hAnsi="?????? Pro W3" w:cs="Times New Roman"/>
      <w:color w:val="000000"/>
      <w:sz w:val="24"/>
      <w:szCs w:val="24"/>
      <w:lang w:val="en-US" w:eastAsia="en-US" w:bidi="ar-SA"/>
    </w:rPr>
  </w:style>
  <w:style w:type="paragraph" w:customStyle="1" w:styleId="Body1">
    <w:name w:val="Body 1"/>
    <w:link w:val="Body1Char"/>
    <w:uiPriority w:val="99"/>
    <w:rsid w:val="00D8115D"/>
    <w:pPr>
      <w:spacing w:after="200" w:line="276" w:lineRule="auto"/>
      <w:outlineLvl w:val="0"/>
    </w:pPr>
    <w:rPr>
      <w:rFonts w:ascii="?????? Pro W3" w:hAnsi="?????? Pro W3"/>
      <w:color w:val="000000"/>
      <w:sz w:val="24"/>
      <w:szCs w:val="24"/>
      <w:lang w:val="en-US" w:eastAsia="en-US"/>
    </w:rPr>
  </w:style>
  <w:style w:type="paragraph" w:styleId="TOCHeading">
    <w:name w:val="TOC Heading"/>
    <w:basedOn w:val="Heading1"/>
    <w:next w:val="Normal"/>
    <w:uiPriority w:val="99"/>
    <w:qFormat/>
    <w:rsid w:val="00B426AB"/>
    <w:pPr>
      <w:keepLines/>
      <w:spacing w:before="480" w:after="0" w:line="276" w:lineRule="auto"/>
      <w:outlineLvl w:val="9"/>
    </w:pPr>
    <w:rPr>
      <w:rFonts w:ascii="Cambria" w:hAnsi="Cambria" w:cs="Times New Roman"/>
      <w:color w:val="365F91"/>
      <w:kern w:val="0"/>
      <w:sz w:val="28"/>
      <w:szCs w:val="28"/>
      <w:lang w:val="en-US" w:eastAsia="en-US"/>
    </w:rPr>
  </w:style>
  <w:style w:type="paragraph" w:styleId="TOC3">
    <w:name w:val="toc 3"/>
    <w:basedOn w:val="Normal"/>
    <w:next w:val="Normal"/>
    <w:autoRedefine/>
    <w:uiPriority w:val="99"/>
    <w:locked/>
    <w:rsid w:val="00B426AB"/>
    <w:pPr>
      <w:spacing w:after="100"/>
      <w:ind w:left="480"/>
    </w:pPr>
  </w:style>
  <w:style w:type="paragraph" w:styleId="TOC1">
    <w:name w:val="toc 1"/>
    <w:basedOn w:val="Normal"/>
    <w:next w:val="Normal"/>
    <w:autoRedefine/>
    <w:uiPriority w:val="99"/>
    <w:locked/>
    <w:rsid w:val="00B426AB"/>
    <w:pPr>
      <w:spacing w:after="100"/>
    </w:pPr>
  </w:style>
  <w:style w:type="paragraph" w:styleId="TOC2">
    <w:name w:val="toc 2"/>
    <w:basedOn w:val="Normal"/>
    <w:next w:val="Normal"/>
    <w:autoRedefine/>
    <w:uiPriority w:val="99"/>
    <w:locked/>
    <w:rsid w:val="00B426AB"/>
    <w:pPr>
      <w:spacing w:after="100"/>
      <w:ind w:left="240"/>
    </w:pPr>
  </w:style>
  <w:style w:type="numbering" w:styleId="111111">
    <w:name w:val="Outline List 2"/>
    <w:basedOn w:val="NoList"/>
    <w:uiPriority w:val="99"/>
    <w:semiHidden/>
    <w:unhideWhenUsed/>
    <w:locked/>
    <w:rsid w:val="00EF6F64"/>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7663C"/>
    <w:pPr>
      <w:jc w:val="both"/>
    </w:pPr>
    <w:rPr>
      <w:rFonts w:ascii="Times New Roman" w:hAnsi="Times New Roman"/>
      <w:sz w:val="24"/>
      <w:szCs w:val="24"/>
    </w:rPr>
  </w:style>
  <w:style w:type="paragraph" w:styleId="Heading1">
    <w:name w:val="heading 1"/>
    <w:basedOn w:val="Normal"/>
    <w:next w:val="Normal"/>
    <w:link w:val="Heading1Char"/>
    <w:autoRedefine/>
    <w:uiPriority w:val="99"/>
    <w:qFormat/>
    <w:rsid w:val="00041D60"/>
    <w:pPr>
      <w:keepNext/>
      <w:spacing w:before="240" w:after="600"/>
      <w:jc w:val="center"/>
      <w:outlineLvl w:val="0"/>
    </w:pPr>
    <w:rPr>
      <w:rFonts w:cs="Arial"/>
      <w:b/>
      <w:bCs/>
      <w:caps/>
      <w:kern w:val="32"/>
      <w:sz w:val="32"/>
      <w:szCs w:val="32"/>
    </w:rPr>
  </w:style>
  <w:style w:type="paragraph" w:styleId="Heading2">
    <w:name w:val="heading 2"/>
    <w:basedOn w:val="Normal"/>
    <w:next w:val="Normal"/>
    <w:link w:val="Heading2Char"/>
    <w:uiPriority w:val="99"/>
    <w:qFormat/>
    <w:rsid w:val="006975A5"/>
    <w:pPr>
      <w:keepNext/>
      <w:spacing w:after="60"/>
      <w:jc w:val="center"/>
      <w:outlineLvl w:val="1"/>
    </w:pPr>
    <w:rPr>
      <w:rFonts w:cs="Arial"/>
      <w:b/>
      <w:bCs/>
      <w:iCs/>
      <w:szCs w:val="28"/>
    </w:rPr>
  </w:style>
  <w:style w:type="paragraph" w:styleId="Heading3">
    <w:name w:val="heading 3"/>
    <w:basedOn w:val="Normal"/>
    <w:next w:val="Normal"/>
    <w:link w:val="Heading3Char"/>
    <w:uiPriority w:val="99"/>
    <w:qFormat/>
    <w:rsid w:val="001D38A4"/>
    <w:pPr>
      <w:keepNext/>
      <w:spacing w:before="120" w:after="120"/>
      <w:jc w:val="center"/>
      <w:outlineLvl w:val="2"/>
    </w:pPr>
    <w:rPr>
      <w:rFonts w:cs="Arial"/>
      <w:b/>
      <w:bCs/>
      <w:smallCaps/>
      <w:sz w:val="28"/>
      <w:szCs w:val="26"/>
    </w:rPr>
  </w:style>
  <w:style w:type="paragraph" w:styleId="Heading4">
    <w:name w:val="heading 4"/>
    <w:basedOn w:val="Normal"/>
    <w:next w:val="Normal"/>
    <w:link w:val="Heading4Char"/>
    <w:uiPriority w:val="99"/>
    <w:qFormat/>
    <w:rsid w:val="001D38A4"/>
    <w:pPr>
      <w:keepNext/>
      <w:spacing w:before="120" w:after="120"/>
      <w:outlineLvl w:val="3"/>
    </w:pPr>
    <w:rPr>
      <w:b/>
      <w:bCs/>
      <w:szCs w:val="28"/>
    </w:rPr>
  </w:style>
  <w:style w:type="paragraph" w:styleId="Heading5">
    <w:name w:val="heading 5"/>
    <w:basedOn w:val="Normal"/>
    <w:next w:val="Normal"/>
    <w:link w:val="Heading5Char"/>
    <w:uiPriority w:val="99"/>
    <w:qFormat/>
    <w:rsid w:val="00501410"/>
    <w:pPr>
      <w:pBdr>
        <w:top w:val="single" w:sz="4" w:space="1" w:color="auto"/>
        <w:left w:val="single" w:sz="4" w:space="4" w:color="auto"/>
        <w:bottom w:val="single" w:sz="4" w:space="1" w:color="auto"/>
        <w:right w:val="single" w:sz="4" w:space="4" w:color="auto"/>
      </w:pBdr>
      <w:spacing w:before="240" w:after="120"/>
      <w:outlineLvl w:val="4"/>
    </w:pPr>
    <w:rPr>
      <w:b/>
      <w:bCs/>
      <w:iCs/>
      <w:szCs w:val="26"/>
    </w:rPr>
  </w:style>
  <w:style w:type="paragraph" w:styleId="Heading6">
    <w:name w:val="heading 6"/>
    <w:basedOn w:val="Normal"/>
    <w:next w:val="Normal"/>
    <w:link w:val="Heading6Char"/>
    <w:uiPriority w:val="99"/>
    <w:qFormat/>
    <w:rsid w:val="00DE2E57"/>
    <w:pPr>
      <w:spacing w:before="240" w:after="60"/>
      <w:outlineLvl w:val="5"/>
    </w:pPr>
    <w:rPr>
      <w:b/>
      <w:bCs/>
      <w:szCs w:val="22"/>
    </w:rPr>
  </w:style>
  <w:style w:type="paragraph" w:styleId="Heading7">
    <w:name w:val="heading 7"/>
    <w:basedOn w:val="Normal"/>
    <w:next w:val="Normal"/>
    <w:link w:val="Heading7Char"/>
    <w:uiPriority w:val="99"/>
    <w:qFormat/>
    <w:rsid w:val="001F40CA"/>
    <w:pPr>
      <w:spacing w:before="240" w:after="60"/>
      <w:outlineLvl w:val="6"/>
    </w:pPr>
    <w:rPr>
      <w:b/>
    </w:rPr>
  </w:style>
  <w:style w:type="paragraph" w:styleId="Heading8">
    <w:name w:val="heading 8"/>
    <w:basedOn w:val="Normal"/>
    <w:next w:val="Normal"/>
    <w:link w:val="Heading8Char"/>
    <w:uiPriority w:val="99"/>
    <w:qFormat/>
    <w:rsid w:val="003B5F1C"/>
    <w:pPr>
      <w:numPr>
        <w:ilvl w:val="7"/>
        <w:numId w:val="5"/>
      </w:numPr>
      <w:spacing w:before="240" w:after="60"/>
      <w:outlineLvl w:val="7"/>
    </w:pPr>
    <w:rPr>
      <w:i/>
      <w:iCs/>
    </w:rPr>
  </w:style>
  <w:style w:type="paragraph" w:styleId="Heading9">
    <w:name w:val="heading 9"/>
    <w:basedOn w:val="Normal"/>
    <w:next w:val="Normal"/>
    <w:link w:val="Heading9Char"/>
    <w:uiPriority w:val="99"/>
    <w:qFormat/>
    <w:rsid w:val="003B5F1C"/>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1D60"/>
    <w:rPr>
      <w:rFonts w:ascii="Times New Roman" w:hAnsi="Times New Roman" w:cs="Arial"/>
      <w:b/>
      <w:bCs/>
      <w:caps/>
      <w:kern w:val="32"/>
      <w:sz w:val="32"/>
      <w:szCs w:val="32"/>
    </w:rPr>
  </w:style>
  <w:style w:type="character" w:customStyle="1" w:styleId="Heading2Char">
    <w:name w:val="Heading 2 Char"/>
    <w:basedOn w:val="DefaultParagraphFont"/>
    <w:link w:val="Heading2"/>
    <w:uiPriority w:val="99"/>
    <w:locked/>
    <w:rsid w:val="006975A5"/>
    <w:rPr>
      <w:rFonts w:ascii="Times New Roman" w:hAnsi="Times New Roman" w:cs="Arial"/>
      <w:b/>
      <w:bCs/>
      <w:iCs/>
      <w:sz w:val="24"/>
      <w:szCs w:val="28"/>
    </w:rPr>
  </w:style>
  <w:style w:type="character" w:customStyle="1" w:styleId="Heading3Char">
    <w:name w:val="Heading 3 Char"/>
    <w:basedOn w:val="DefaultParagraphFont"/>
    <w:link w:val="Heading3"/>
    <w:uiPriority w:val="99"/>
    <w:locked/>
    <w:rsid w:val="001D38A4"/>
    <w:rPr>
      <w:rFonts w:ascii="Times New Roman" w:hAnsi="Times New Roman" w:cs="Arial"/>
      <w:b/>
      <w:bCs/>
      <w:smallCaps/>
      <w:sz w:val="28"/>
      <w:szCs w:val="26"/>
    </w:rPr>
  </w:style>
  <w:style w:type="character" w:customStyle="1" w:styleId="Heading4Char">
    <w:name w:val="Heading 4 Char"/>
    <w:basedOn w:val="DefaultParagraphFont"/>
    <w:link w:val="Heading4"/>
    <w:uiPriority w:val="99"/>
    <w:locked/>
    <w:rsid w:val="001D38A4"/>
    <w:rPr>
      <w:rFonts w:ascii="Times New Roman" w:hAnsi="Times New Roman"/>
      <w:b/>
      <w:bCs/>
      <w:sz w:val="24"/>
      <w:szCs w:val="28"/>
    </w:rPr>
  </w:style>
  <w:style w:type="character" w:customStyle="1" w:styleId="Heading5Char">
    <w:name w:val="Heading 5 Char"/>
    <w:basedOn w:val="DefaultParagraphFont"/>
    <w:link w:val="Heading5"/>
    <w:uiPriority w:val="99"/>
    <w:locked/>
    <w:rsid w:val="00501410"/>
    <w:rPr>
      <w:rFonts w:ascii="Times New Roman" w:hAnsi="Times New Roman"/>
      <w:b/>
      <w:bCs/>
      <w:iCs/>
      <w:sz w:val="24"/>
      <w:szCs w:val="26"/>
    </w:rPr>
  </w:style>
  <w:style w:type="character" w:customStyle="1" w:styleId="Heading6Char">
    <w:name w:val="Heading 6 Char"/>
    <w:basedOn w:val="DefaultParagraphFont"/>
    <w:link w:val="Heading6"/>
    <w:uiPriority w:val="99"/>
    <w:locked/>
    <w:rsid w:val="00DE2E57"/>
    <w:rPr>
      <w:rFonts w:ascii="Times New Roman" w:hAnsi="Times New Roman"/>
      <w:b/>
      <w:bCs/>
      <w:sz w:val="24"/>
    </w:rPr>
  </w:style>
  <w:style w:type="character" w:customStyle="1" w:styleId="Heading7Char">
    <w:name w:val="Heading 7 Char"/>
    <w:basedOn w:val="DefaultParagraphFont"/>
    <w:link w:val="Heading7"/>
    <w:uiPriority w:val="99"/>
    <w:locked/>
    <w:rsid w:val="001F40CA"/>
    <w:rPr>
      <w:rFonts w:ascii="Times New Roman" w:hAnsi="Times New Roman"/>
      <w:b/>
      <w:sz w:val="24"/>
      <w:szCs w:val="24"/>
    </w:rPr>
  </w:style>
  <w:style w:type="character" w:customStyle="1" w:styleId="Heading8Char">
    <w:name w:val="Heading 8 Char"/>
    <w:basedOn w:val="DefaultParagraphFont"/>
    <w:link w:val="Heading8"/>
    <w:uiPriority w:val="99"/>
    <w:locked/>
    <w:rsid w:val="003B5F1C"/>
    <w:rPr>
      <w:rFonts w:ascii="Times New Roman" w:hAnsi="Times New Roman"/>
      <w:i/>
      <w:iCs/>
      <w:sz w:val="24"/>
      <w:szCs w:val="24"/>
    </w:rPr>
  </w:style>
  <w:style w:type="character" w:customStyle="1" w:styleId="Heading9Char">
    <w:name w:val="Heading 9 Char"/>
    <w:basedOn w:val="DefaultParagraphFont"/>
    <w:link w:val="Heading9"/>
    <w:uiPriority w:val="99"/>
    <w:locked/>
    <w:rsid w:val="003B5F1C"/>
    <w:rPr>
      <w:rFonts w:ascii="Arial" w:hAnsi="Arial" w:cs="Arial"/>
    </w:rPr>
  </w:style>
  <w:style w:type="character" w:styleId="CommentReference">
    <w:name w:val="annotation reference"/>
    <w:basedOn w:val="DefaultParagraphFont"/>
    <w:uiPriority w:val="99"/>
    <w:semiHidden/>
    <w:rsid w:val="001C1E78"/>
    <w:rPr>
      <w:rFonts w:cs="Times New Roman"/>
      <w:sz w:val="16"/>
      <w:szCs w:val="16"/>
    </w:rPr>
  </w:style>
  <w:style w:type="paragraph" w:styleId="CommentText">
    <w:name w:val="annotation text"/>
    <w:basedOn w:val="Normal"/>
    <w:link w:val="CommentTextChar"/>
    <w:uiPriority w:val="99"/>
    <w:semiHidden/>
    <w:rsid w:val="001C1E78"/>
    <w:rPr>
      <w:sz w:val="20"/>
      <w:szCs w:val="20"/>
    </w:rPr>
  </w:style>
  <w:style w:type="character" w:customStyle="1" w:styleId="CommentTextChar">
    <w:name w:val="Comment Text Char"/>
    <w:basedOn w:val="DefaultParagraphFont"/>
    <w:link w:val="CommentText"/>
    <w:uiPriority w:val="99"/>
    <w:semiHidden/>
    <w:locked/>
    <w:rsid w:val="001C1E78"/>
    <w:rPr>
      <w:rFonts w:ascii="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rsid w:val="001C1E78"/>
    <w:rPr>
      <w:b/>
      <w:bCs/>
    </w:rPr>
  </w:style>
  <w:style w:type="character" w:customStyle="1" w:styleId="CommentSubjectChar">
    <w:name w:val="Comment Subject Char"/>
    <w:basedOn w:val="CommentTextChar"/>
    <w:link w:val="CommentSubject"/>
    <w:uiPriority w:val="99"/>
    <w:semiHidden/>
    <w:locked/>
    <w:rsid w:val="001C1E78"/>
    <w:rPr>
      <w:rFonts w:ascii="Times New Roman" w:hAnsi="Times New Roman" w:cs="Times New Roman"/>
      <w:b/>
      <w:bCs/>
      <w:sz w:val="20"/>
      <w:szCs w:val="20"/>
      <w:lang w:val="en-AU" w:eastAsia="en-AU"/>
    </w:rPr>
  </w:style>
  <w:style w:type="paragraph" w:styleId="BalloonText">
    <w:name w:val="Balloon Text"/>
    <w:basedOn w:val="Normal"/>
    <w:link w:val="BalloonTextChar"/>
    <w:uiPriority w:val="99"/>
    <w:semiHidden/>
    <w:rsid w:val="001C1E78"/>
    <w:rPr>
      <w:rFonts w:ascii="Tahoma" w:hAnsi="Tahoma"/>
      <w:sz w:val="16"/>
      <w:szCs w:val="16"/>
    </w:rPr>
  </w:style>
  <w:style w:type="character" w:customStyle="1" w:styleId="BalloonTextChar">
    <w:name w:val="Balloon Text Char"/>
    <w:basedOn w:val="DefaultParagraphFont"/>
    <w:link w:val="BalloonText"/>
    <w:uiPriority w:val="99"/>
    <w:semiHidden/>
    <w:locked/>
    <w:rsid w:val="001C1E78"/>
    <w:rPr>
      <w:rFonts w:ascii="Tahoma" w:hAnsi="Tahoma" w:cs="Times New Roman"/>
      <w:sz w:val="16"/>
      <w:szCs w:val="16"/>
      <w:lang w:val="en-AU" w:eastAsia="en-AU"/>
    </w:rPr>
  </w:style>
  <w:style w:type="paragraph" w:customStyle="1" w:styleId="Default">
    <w:name w:val="Default"/>
    <w:uiPriority w:val="99"/>
    <w:rsid w:val="001C1E78"/>
    <w:pPr>
      <w:autoSpaceDE w:val="0"/>
      <w:autoSpaceDN w:val="0"/>
      <w:adjustRightInd w:val="0"/>
    </w:pPr>
    <w:rPr>
      <w:rFonts w:ascii="Arial" w:hAnsi="Arial" w:cs="Arial"/>
      <w:color w:val="000000"/>
      <w:sz w:val="24"/>
      <w:szCs w:val="24"/>
      <w:lang w:bidi="bn-BD"/>
    </w:rPr>
  </w:style>
  <w:style w:type="paragraph" w:styleId="BodyText2">
    <w:name w:val="Body Text 2"/>
    <w:basedOn w:val="Normal"/>
    <w:link w:val="BodyText2Char"/>
    <w:uiPriority w:val="99"/>
    <w:rsid w:val="001C1E78"/>
    <w:pPr>
      <w:widowControl w:val="0"/>
      <w:spacing w:line="240" w:lineRule="exact"/>
    </w:pPr>
    <w:rPr>
      <w:szCs w:val="20"/>
    </w:rPr>
  </w:style>
  <w:style w:type="character" w:customStyle="1" w:styleId="BodyText2Char">
    <w:name w:val="Body Text 2 Char"/>
    <w:basedOn w:val="DefaultParagraphFont"/>
    <w:link w:val="BodyText2"/>
    <w:uiPriority w:val="99"/>
    <w:locked/>
    <w:rsid w:val="001C1E78"/>
    <w:rPr>
      <w:rFonts w:ascii="Times New Roman" w:hAnsi="Times New Roman" w:cs="Times New Roman"/>
      <w:sz w:val="20"/>
      <w:szCs w:val="20"/>
      <w:lang w:val="en-AU" w:eastAsia="en-AU"/>
    </w:rPr>
  </w:style>
  <w:style w:type="paragraph" w:styleId="Header">
    <w:name w:val="header"/>
    <w:basedOn w:val="Normal"/>
    <w:link w:val="HeaderChar"/>
    <w:uiPriority w:val="99"/>
    <w:rsid w:val="001C1E78"/>
    <w:pPr>
      <w:tabs>
        <w:tab w:val="center" w:pos="4153"/>
        <w:tab w:val="right" w:pos="8306"/>
      </w:tabs>
    </w:pPr>
  </w:style>
  <w:style w:type="character" w:customStyle="1" w:styleId="HeaderChar">
    <w:name w:val="Header Char"/>
    <w:basedOn w:val="DefaultParagraphFont"/>
    <w:link w:val="Header"/>
    <w:uiPriority w:val="99"/>
    <w:locked/>
    <w:rsid w:val="001C1E78"/>
    <w:rPr>
      <w:rFonts w:ascii="Times New Roman" w:hAnsi="Times New Roman" w:cs="Times New Roman"/>
      <w:lang w:val="en-AU" w:eastAsia="en-AU"/>
    </w:rPr>
  </w:style>
  <w:style w:type="paragraph" w:styleId="Footer">
    <w:name w:val="footer"/>
    <w:basedOn w:val="Normal"/>
    <w:link w:val="FooterChar"/>
    <w:uiPriority w:val="99"/>
    <w:rsid w:val="001C1E78"/>
    <w:pPr>
      <w:tabs>
        <w:tab w:val="center" w:pos="4153"/>
        <w:tab w:val="right" w:pos="8306"/>
      </w:tabs>
    </w:pPr>
  </w:style>
  <w:style w:type="character" w:customStyle="1" w:styleId="FooterChar">
    <w:name w:val="Footer Char"/>
    <w:basedOn w:val="DefaultParagraphFont"/>
    <w:link w:val="Footer"/>
    <w:uiPriority w:val="99"/>
    <w:locked/>
    <w:rsid w:val="001C1E78"/>
    <w:rPr>
      <w:rFonts w:ascii="Times New Roman" w:hAnsi="Times New Roman" w:cs="Times New Roman"/>
      <w:lang w:val="en-AU" w:eastAsia="en-AU"/>
    </w:rPr>
  </w:style>
  <w:style w:type="character" w:styleId="PageNumber">
    <w:name w:val="page number"/>
    <w:basedOn w:val="DefaultParagraphFont"/>
    <w:uiPriority w:val="99"/>
    <w:rsid w:val="001C1E78"/>
    <w:rPr>
      <w:rFonts w:cs="Times New Roman"/>
    </w:rPr>
  </w:style>
  <w:style w:type="character" w:styleId="Hyperlink">
    <w:name w:val="Hyperlink"/>
    <w:basedOn w:val="DefaultParagraphFont"/>
    <w:uiPriority w:val="99"/>
    <w:rsid w:val="001C1E78"/>
    <w:rPr>
      <w:rFonts w:cs="Times New Roman"/>
      <w:color w:val="0000FF"/>
      <w:u w:val="single"/>
    </w:rPr>
  </w:style>
  <w:style w:type="paragraph" w:customStyle="1" w:styleId="CM2">
    <w:name w:val="CM2"/>
    <w:basedOn w:val="Normal"/>
    <w:next w:val="Normal"/>
    <w:uiPriority w:val="99"/>
    <w:rsid w:val="001C1E78"/>
    <w:pPr>
      <w:widowControl w:val="0"/>
      <w:autoSpaceDE w:val="0"/>
      <w:autoSpaceDN w:val="0"/>
      <w:adjustRightInd w:val="0"/>
      <w:spacing w:line="276" w:lineRule="atLeast"/>
    </w:pPr>
    <w:rPr>
      <w:rFonts w:eastAsia="Batang"/>
      <w:lang w:eastAsia="ko-KR"/>
    </w:rPr>
  </w:style>
  <w:style w:type="paragraph" w:customStyle="1" w:styleId="CM1">
    <w:name w:val="CM1"/>
    <w:basedOn w:val="Default"/>
    <w:next w:val="Default"/>
    <w:uiPriority w:val="99"/>
    <w:rsid w:val="001C1E78"/>
    <w:pPr>
      <w:widowControl w:val="0"/>
      <w:spacing w:line="276" w:lineRule="atLeast"/>
    </w:pPr>
    <w:rPr>
      <w:rFonts w:ascii="Times New Roman" w:hAnsi="Times New Roman" w:cs="Vrinda"/>
      <w:color w:val="auto"/>
    </w:rPr>
  </w:style>
  <w:style w:type="paragraph" w:styleId="ListParagraph">
    <w:name w:val="List Paragraph"/>
    <w:basedOn w:val="Normal"/>
    <w:uiPriority w:val="99"/>
    <w:qFormat/>
    <w:rsid w:val="001C1E78"/>
    <w:pPr>
      <w:ind w:left="720"/>
      <w:contextualSpacing/>
    </w:pPr>
  </w:style>
  <w:style w:type="paragraph" w:styleId="BodyTextIndent">
    <w:name w:val="Body Text Indent"/>
    <w:basedOn w:val="Normal"/>
    <w:link w:val="BodyTextIndentChar"/>
    <w:uiPriority w:val="99"/>
    <w:semiHidden/>
    <w:rsid w:val="001C1E78"/>
    <w:pPr>
      <w:spacing w:after="120"/>
      <w:ind w:left="283"/>
    </w:pPr>
  </w:style>
  <w:style w:type="character" w:customStyle="1" w:styleId="BodyTextIndentChar">
    <w:name w:val="Body Text Indent Char"/>
    <w:basedOn w:val="DefaultParagraphFont"/>
    <w:link w:val="BodyTextIndent"/>
    <w:uiPriority w:val="99"/>
    <w:semiHidden/>
    <w:locked/>
    <w:rsid w:val="001C1E78"/>
    <w:rPr>
      <w:rFonts w:ascii="Times New Roman" w:hAnsi="Times New Roman" w:cs="Times New Roman"/>
      <w:lang w:val="en-AU" w:eastAsia="en-AU"/>
    </w:rPr>
  </w:style>
  <w:style w:type="paragraph" w:styleId="BodyText">
    <w:name w:val="Body Text"/>
    <w:basedOn w:val="Normal"/>
    <w:link w:val="BodyTextChar"/>
    <w:uiPriority w:val="99"/>
    <w:semiHidden/>
    <w:rsid w:val="001C1E78"/>
    <w:pPr>
      <w:spacing w:after="120" w:line="276" w:lineRule="auto"/>
    </w:pPr>
    <w:rPr>
      <w:rFonts w:ascii="Cambria" w:hAnsi="Cambria"/>
      <w:sz w:val="22"/>
      <w:szCs w:val="22"/>
      <w:lang w:eastAsia="en-US"/>
    </w:rPr>
  </w:style>
  <w:style w:type="character" w:customStyle="1" w:styleId="BodyTextChar">
    <w:name w:val="Body Text Char"/>
    <w:basedOn w:val="DefaultParagraphFont"/>
    <w:link w:val="BodyText"/>
    <w:uiPriority w:val="99"/>
    <w:semiHidden/>
    <w:locked/>
    <w:rsid w:val="001C1E78"/>
    <w:rPr>
      <w:rFonts w:eastAsia="Times New Roman" w:cs="Times New Roman"/>
      <w:sz w:val="22"/>
      <w:szCs w:val="22"/>
      <w:lang w:val="en-AU"/>
    </w:rPr>
  </w:style>
  <w:style w:type="paragraph" w:styleId="Caption">
    <w:name w:val="caption"/>
    <w:basedOn w:val="Normal"/>
    <w:next w:val="Normal"/>
    <w:uiPriority w:val="99"/>
    <w:qFormat/>
    <w:rsid w:val="001C1E78"/>
    <w:pPr>
      <w:spacing w:after="200" w:line="276" w:lineRule="auto"/>
    </w:pPr>
    <w:rPr>
      <w:rFonts w:ascii="Calibri" w:hAnsi="Calibri"/>
      <w:b/>
      <w:bCs/>
      <w:caps/>
      <w:sz w:val="16"/>
      <w:szCs w:val="18"/>
      <w:lang w:val="en-US" w:eastAsia="en-US"/>
    </w:rPr>
  </w:style>
  <w:style w:type="character" w:customStyle="1" w:styleId="apple-converted-space">
    <w:name w:val="apple-converted-space"/>
    <w:basedOn w:val="DefaultParagraphFont"/>
    <w:uiPriority w:val="99"/>
    <w:rsid w:val="001C1E78"/>
    <w:rPr>
      <w:rFonts w:cs="Times New Roman"/>
    </w:rPr>
  </w:style>
  <w:style w:type="paragraph" w:styleId="FootnoteText">
    <w:name w:val="footnote text"/>
    <w:basedOn w:val="Normal"/>
    <w:link w:val="FootnoteTextChar"/>
    <w:uiPriority w:val="99"/>
    <w:rsid w:val="00C07429"/>
  </w:style>
  <w:style w:type="character" w:customStyle="1" w:styleId="FootnoteTextChar">
    <w:name w:val="Footnote Text Char"/>
    <w:basedOn w:val="DefaultParagraphFont"/>
    <w:link w:val="FootnoteText"/>
    <w:uiPriority w:val="99"/>
    <w:locked/>
    <w:rsid w:val="00C07429"/>
    <w:rPr>
      <w:rFonts w:ascii="Times New Roman" w:hAnsi="Times New Roman" w:cs="Times New Roman"/>
      <w:lang w:val="en-AU" w:eastAsia="en-AU"/>
    </w:rPr>
  </w:style>
  <w:style w:type="character" w:styleId="FootnoteReference">
    <w:name w:val="footnote reference"/>
    <w:basedOn w:val="DefaultParagraphFont"/>
    <w:uiPriority w:val="99"/>
    <w:rsid w:val="00C07429"/>
    <w:rPr>
      <w:rFonts w:cs="Times New Roman"/>
      <w:vertAlign w:val="superscript"/>
    </w:rPr>
  </w:style>
  <w:style w:type="paragraph" w:styleId="NormalWeb">
    <w:name w:val="Normal (Web)"/>
    <w:basedOn w:val="Normal"/>
    <w:uiPriority w:val="99"/>
    <w:rsid w:val="003B5F1C"/>
    <w:pPr>
      <w:spacing w:after="120"/>
    </w:pPr>
  </w:style>
  <w:style w:type="table" w:styleId="TableGrid">
    <w:name w:val="Table Grid"/>
    <w:basedOn w:val="TableNormal"/>
    <w:uiPriority w:val="99"/>
    <w:rsid w:val="003B5F1C"/>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uiPriority w:val="99"/>
    <w:rsid w:val="003B5F1C"/>
    <w:rPr>
      <w:rFonts w:cs="Times New Roman"/>
    </w:rPr>
  </w:style>
  <w:style w:type="character" w:styleId="Strong">
    <w:name w:val="Strong"/>
    <w:basedOn w:val="DefaultParagraphFont"/>
    <w:uiPriority w:val="99"/>
    <w:qFormat/>
    <w:rsid w:val="003B5F1C"/>
    <w:rPr>
      <w:rFonts w:cs="Times New Roman"/>
      <w:b/>
    </w:rPr>
  </w:style>
  <w:style w:type="character" w:styleId="FollowedHyperlink">
    <w:name w:val="FollowedHyperlink"/>
    <w:basedOn w:val="DefaultParagraphFont"/>
    <w:uiPriority w:val="99"/>
    <w:rsid w:val="003B5F1C"/>
    <w:rPr>
      <w:rFonts w:cs="Times New Roman"/>
      <w:color w:val="800080"/>
      <w:u w:val="single"/>
    </w:rPr>
  </w:style>
  <w:style w:type="character" w:customStyle="1" w:styleId="googqs-tidbit">
    <w:name w:val="goog_qs-tidbit"/>
    <w:basedOn w:val="DefaultParagraphFont"/>
    <w:uiPriority w:val="99"/>
    <w:rsid w:val="0026750F"/>
    <w:rPr>
      <w:rFonts w:cs="Times New Roman"/>
    </w:rPr>
  </w:style>
  <w:style w:type="character" w:customStyle="1" w:styleId="Body1Char">
    <w:name w:val="Body 1 Char"/>
    <w:basedOn w:val="DefaultParagraphFont"/>
    <w:link w:val="Body1"/>
    <w:uiPriority w:val="99"/>
    <w:locked/>
    <w:rsid w:val="00D8115D"/>
    <w:rPr>
      <w:rFonts w:ascii="?????? Pro W3" w:hAnsi="?????? Pro W3" w:cs="Times New Roman"/>
      <w:color w:val="000000"/>
      <w:sz w:val="24"/>
      <w:szCs w:val="24"/>
      <w:lang w:val="en-US" w:eastAsia="en-US" w:bidi="ar-SA"/>
    </w:rPr>
  </w:style>
  <w:style w:type="paragraph" w:customStyle="1" w:styleId="Body1">
    <w:name w:val="Body 1"/>
    <w:link w:val="Body1Char"/>
    <w:uiPriority w:val="99"/>
    <w:rsid w:val="00D8115D"/>
    <w:pPr>
      <w:spacing w:after="200" w:line="276" w:lineRule="auto"/>
      <w:outlineLvl w:val="0"/>
    </w:pPr>
    <w:rPr>
      <w:rFonts w:ascii="?????? Pro W3" w:hAnsi="?????? Pro W3"/>
      <w:color w:val="000000"/>
      <w:sz w:val="24"/>
      <w:szCs w:val="24"/>
      <w:lang w:val="en-US" w:eastAsia="en-US"/>
    </w:rPr>
  </w:style>
  <w:style w:type="paragraph" w:styleId="TOCHeading">
    <w:name w:val="TOC Heading"/>
    <w:basedOn w:val="Heading1"/>
    <w:next w:val="Normal"/>
    <w:uiPriority w:val="99"/>
    <w:qFormat/>
    <w:rsid w:val="00B426AB"/>
    <w:pPr>
      <w:keepLines/>
      <w:spacing w:before="480" w:after="0" w:line="276" w:lineRule="auto"/>
      <w:outlineLvl w:val="9"/>
    </w:pPr>
    <w:rPr>
      <w:rFonts w:ascii="Cambria" w:hAnsi="Cambria" w:cs="Times New Roman"/>
      <w:color w:val="365F91"/>
      <w:kern w:val="0"/>
      <w:sz w:val="28"/>
      <w:szCs w:val="28"/>
      <w:lang w:val="en-US" w:eastAsia="en-US"/>
    </w:rPr>
  </w:style>
  <w:style w:type="paragraph" w:styleId="TOC3">
    <w:name w:val="toc 3"/>
    <w:basedOn w:val="Normal"/>
    <w:next w:val="Normal"/>
    <w:autoRedefine/>
    <w:uiPriority w:val="99"/>
    <w:locked/>
    <w:rsid w:val="00B426AB"/>
    <w:pPr>
      <w:spacing w:after="100"/>
      <w:ind w:left="480"/>
    </w:pPr>
  </w:style>
  <w:style w:type="paragraph" w:styleId="TOC1">
    <w:name w:val="toc 1"/>
    <w:basedOn w:val="Normal"/>
    <w:next w:val="Normal"/>
    <w:autoRedefine/>
    <w:uiPriority w:val="99"/>
    <w:locked/>
    <w:rsid w:val="00B426AB"/>
    <w:pPr>
      <w:spacing w:after="100"/>
    </w:pPr>
  </w:style>
  <w:style w:type="paragraph" w:styleId="TOC2">
    <w:name w:val="toc 2"/>
    <w:basedOn w:val="Normal"/>
    <w:next w:val="Normal"/>
    <w:autoRedefine/>
    <w:uiPriority w:val="99"/>
    <w:locked/>
    <w:rsid w:val="00B426AB"/>
    <w:pPr>
      <w:spacing w:after="100"/>
      <w:ind w:left="240"/>
    </w:pPr>
  </w:style>
  <w:style w:type="numbering" w:styleId="111111">
    <w:name w:val="Outline List 2"/>
    <w:basedOn w:val="NoList"/>
    <w:uiPriority w:val="99"/>
    <w:semiHidden/>
    <w:unhideWhenUsed/>
    <w:locked/>
    <w:rsid w:val="00EF6F6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ho.int/goe/publications/goe_mhealth_web.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health.gov.au/internet/main/publishing.nsf/Content/health-oatsih-pubs-omp.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oto.sagepub.com/cgi/pmidlookup?view=long&amp;pmid=18984261"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tangentyere.org.au/publications/research_reports/MobilePhone.pdf" TargetMode="External"/><Relationship Id="rId10" Type="http://schemas.openxmlformats.org/officeDocument/2006/relationships/header" Target="header1.xm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www.acma.gov.au/WEB/STANDARD/pc=PC_3113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09CE1-18E2-4A5C-87C6-B95B3C537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27155</Words>
  <Characters>392306</Characters>
  <Application>Microsoft Office Word</Application>
  <DocSecurity>0</DocSecurity>
  <Lines>10323</Lines>
  <Paragraphs>3957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2013-12-10T22:29:00Z</dcterms:created>
  <dcterms:modified xsi:type="dcterms:W3CDTF">2013-12-11T05:05:00Z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